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A83489E">
      <w:pPr>
        <w:spacing w:after="0" w:line="660" w:lineRule="exact"/>
        <w:jc w:val="center"/>
        <w:rPr>
          <w:rFonts w:hint="eastAsia" w:ascii="华文中宋" w:hAnsi="华文中宋" w:eastAsia="华文中宋" w:cs="宋体"/>
          <w:b/>
          <w:bCs/>
          <w:sz w:val="36"/>
          <w:szCs w:val="36"/>
        </w:rPr>
      </w:pPr>
      <w:bookmarkStart w:id="0" w:name="OLE_LINK1"/>
      <w:r>
        <w:rPr>
          <w:rFonts w:ascii="华文中宋" w:hAnsi="华文中宋" w:eastAsia="华文中宋" w:cs="宋体"/>
          <w:b/>
          <w:bCs/>
          <w:sz w:val="36"/>
          <w:szCs w:val="36"/>
        </w:rPr>
        <w:t>《</w:t>
      </w:r>
      <w:r>
        <w:rPr>
          <w:rFonts w:hint="eastAsia" w:ascii="华文中宋" w:hAnsi="华文中宋" w:eastAsia="华文中宋" w:cs="宋体"/>
          <w:b/>
          <w:bCs/>
          <w:sz w:val="36"/>
          <w:szCs w:val="36"/>
        </w:rPr>
        <w:t>果桑主要病虫害防控</w:t>
      </w:r>
      <w:r>
        <w:rPr>
          <w:rFonts w:ascii="华文中宋" w:hAnsi="华文中宋" w:eastAsia="华文中宋" w:cs="宋体"/>
          <w:b/>
          <w:bCs/>
          <w:sz w:val="36"/>
          <w:szCs w:val="36"/>
        </w:rPr>
        <w:t>技术规程》</w:t>
      </w:r>
      <w:bookmarkEnd w:id="0"/>
    </w:p>
    <w:p w14:paraId="4985B741">
      <w:pPr>
        <w:spacing w:after="0" w:line="660" w:lineRule="exact"/>
        <w:jc w:val="center"/>
        <w:rPr>
          <w:rFonts w:hint="eastAsia" w:ascii="华文中宋" w:hAnsi="华文中宋" w:eastAsia="华文中宋" w:cs="宋体"/>
          <w:b/>
          <w:bCs/>
          <w:sz w:val="36"/>
          <w:szCs w:val="36"/>
        </w:rPr>
      </w:pPr>
      <w:r>
        <w:rPr>
          <w:rFonts w:hint="eastAsia" w:ascii="华文中宋" w:hAnsi="华文中宋" w:eastAsia="华文中宋" w:cs="宋体"/>
          <w:b/>
          <w:bCs/>
          <w:sz w:val="36"/>
          <w:szCs w:val="36"/>
        </w:rPr>
        <w:t>江西</w:t>
      </w:r>
      <w:r>
        <w:rPr>
          <w:rFonts w:ascii="华文中宋" w:hAnsi="华文中宋" w:eastAsia="华文中宋" w:cs="宋体"/>
          <w:b/>
          <w:bCs/>
          <w:sz w:val="36"/>
          <w:szCs w:val="36"/>
        </w:rPr>
        <w:t>省地方标准编制说明</w:t>
      </w:r>
    </w:p>
    <w:p w14:paraId="37917E2C">
      <w:pPr>
        <w:spacing w:after="0" w:line="660" w:lineRule="exact"/>
        <w:jc w:val="center"/>
        <w:rPr>
          <w:rFonts w:hint="eastAsia" w:ascii="华文中宋" w:hAnsi="华文中宋" w:eastAsia="华文中宋" w:cs="宋体"/>
          <w:b/>
          <w:bCs/>
          <w:sz w:val="36"/>
          <w:szCs w:val="36"/>
        </w:rPr>
      </w:pPr>
    </w:p>
    <w:p w14:paraId="35A20C68">
      <w:pPr>
        <w:spacing w:after="0" w:line="312" w:lineRule="auto"/>
        <w:rPr>
          <w:rFonts w:eastAsia="黑体"/>
          <w:sz w:val="32"/>
          <w:szCs w:val="32"/>
        </w:rPr>
      </w:pPr>
      <w:r>
        <w:rPr>
          <w:rFonts w:hint="eastAsia" w:eastAsia="黑体"/>
          <w:sz w:val="32"/>
          <w:szCs w:val="32"/>
        </w:rPr>
        <w:t>一</w:t>
      </w:r>
      <w:r>
        <w:rPr>
          <w:rFonts w:eastAsia="黑体"/>
          <w:sz w:val="32"/>
          <w:szCs w:val="32"/>
        </w:rPr>
        <w:t>、工作概况</w:t>
      </w:r>
    </w:p>
    <w:p w14:paraId="24C2B54B">
      <w:pPr>
        <w:spacing w:after="0" w:line="312" w:lineRule="auto"/>
        <w:ind w:firstLine="562" w:firstLineChars="200"/>
        <w:rPr>
          <w:rFonts w:hint="eastAsia" w:ascii="楷体_GB2312" w:hAnsi="仿宋" w:eastAsia="楷体_GB2312" w:cs="仿宋"/>
          <w:b/>
          <w:bCs/>
          <w:color w:val="000000"/>
          <w:sz w:val="28"/>
          <w:szCs w:val="28"/>
        </w:rPr>
      </w:pPr>
      <w:r>
        <w:rPr>
          <w:rFonts w:ascii="楷体_GB2312" w:hAnsi="仿宋" w:eastAsia="楷体_GB2312" w:cs="仿宋"/>
          <w:b/>
          <w:bCs/>
          <w:color w:val="000000"/>
          <w:sz w:val="28"/>
          <w:szCs w:val="28"/>
        </w:rPr>
        <w:t>（一）任务来源</w:t>
      </w:r>
    </w:p>
    <w:p w14:paraId="5CB1CAF9">
      <w:pPr>
        <w:widowControl/>
        <w:spacing w:after="0" w:line="312" w:lineRule="auto"/>
        <w:ind w:firstLine="560" w:firstLineChars="200"/>
        <w:rPr>
          <w:rFonts w:hint="eastAsia" w:ascii="仿宋" w:hAnsi="仿宋" w:eastAsia="仿宋"/>
          <w:bCs/>
          <w:color w:val="000000"/>
          <w:sz w:val="28"/>
          <w:szCs w:val="28"/>
        </w:rPr>
      </w:pPr>
      <w:r>
        <w:rPr>
          <w:rFonts w:hint="eastAsia" w:ascii="仿宋" w:hAnsi="仿宋" w:eastAsia="仿宋"/>
          <w:bCs/>
          <w:color w:val="000000"/>
          <w:sz w:val="28"/>
          <w:szCs w:val="28"/>
        </w:rPr>
        <w:t>2024年9月30日，由江西农业大学、江西省经济作物研究所申请地方标准的立项，根据《</w:t>
      </w:r>
      <w:r>
        <w:rPr>
          <w:rFonts w:ascii="仿宋" w:hAnsi="仿宋" w:eastAsia="仿宋"/>
          <w:bCs/>
          <w:color w:val="000000"/>
          <w:sz w:val="28"/>
          <w:szCs w:val="28"/>
        </w:rPr>
        <w:t>江西省市场监管局关于下达2024年第九批江西省地方标准制修订计划的通知</w:t>
      </w:r>
      <w:r>
        <w:rPr>
          <w:rFonts w:hint="eastAsia" w:ascii="仿宋" w:hAnsi="仿宋" w:eastAsia="仿宋"/>
          <w:bCs/>
          <w:color w:val="000000"/>
          <w:sz w:val="28"/>
          <w:szCs w:val="28"/>
        </w:rPr>
        <w:t>》（</w:t>
      </w:r>
      <w:r>
        <w:rPr>
          <w:rFonts w:ascii="仿宋" w:hAnsi="仿宋" w:eastAsia="仿宋"/>
          <w:bCs/>
          <w:color w:val="000000"/>
          <w:sz w:val="28"/>
          <w:szCs w:val="28"/>
        </w:rPr>
        <w:t>赣市监标〔2024〕20号</w:t>
      </w:r>
      <w:r>
        <w:rPr>
          <w:rFonts w:hint="eastAsia" w:ascii="仿宋" w:hAnsi="仿宋" w:eastAsia="仿宋"/>
          <w:bCs/>
          <w:color w:val="000000"/>
          <w:sz w:val="28"/>
          <w:szCs w:val="28"/>
        </w:rPr>
        <w:t>）批准《果桑主要病虫害防控技术规程》地方标准的制定，</w:t>
      </w:r>
      <w:r>
        <w:rPr>
          <w:rFonts w:ascii="仿宋" w:hAnsi="仿宋" w:eastAsia="仿宋"/>
          <w:bCs/>
          <w:color w:val="000000"/>
          <w:sz w:val="28"/>
          <w:szCs w:val="28"/>
        </w:rPr>
        <w:t>计划编号为：DB36-2024-9-13</w:t>
      </w:r>
      <w:r>
        <w:rPr>
          <w:rFonts w:hint="eastAsia" w:ascii="仿宋" w:hAnsi="仿宋" w:eastAsia="仿宋"/>
          <w:bCs/>
          <w:color w:val="000000"/>
          <w:sz w:val="28"/>
          <w:szCs w:val="28"/>
        </w:rPr>
        <w:t>。</w:t>
      </w:r>
    </w:p>
    <w:p w14:paraId="2BC48C4C">
      <w:pPr>
        <w:spacing w:after="0" w:line="312" w:lineRule="auto"/>
        <w:ind w:firstLine="562" w:firstLineChars="200"/>
        <w:rPr>
          <w:rFonts w:hint="eastAsia" w:ascii="楷体_GB2312" w:hAnsi="仿宋" w:eastAsia="楷体_GB2312" w:cs="仿宋"/>
          <w:b/>
          <w:bCs/>
          <w:color w:val="000000"/>
          <w:sz w:val="28"/>
          <w:szCs w:val="28"/>
        </w:rPr>
      </w:pPr>
      <w:r>
        <w:rPr>
          <w:rFonts w:hint="eastAsia" w:ascii="楷体_GB2312" w:hAnsi="仿宋" w:eastAsia="楷体_GB2312" w:cs="仿宋"/>
          <w:b/>
          <w:bCs/>
          <w:color w:val="000000"/>
          <w:sz w:val="28"/>
          <w:szCs w:val="28"/>
        </w:rPr>
        <w:t>（二）起草单位</w:t>
      </w:r>
    </w:p>
    <w:p w14:paraId="2E471148">
      <w:pPr>
        <w:spacing w:after="0" w:line="312" w:lineRule="auto"/>
        <w:ind w:firstLine="560" w:firstLineChars="200"/>
        <w:rPr>
          <w:rFonts w:ascii="仿宋" w:hAnsi="仿宋" w:eastAsia="仿宋"/>
          <w:bCs/>
          <w:color w:val="000000"/>
          <w:sz w:val="28"/>
          <w:szCs w:val="28"/>
        </w:rPr>
      </w:pPr>
      <w:r>
        <w:rPr>
          <w:rFonts w:ascii="仿宋" w:hAnsi="仿宋" w:eastAsia="仿宋"/>
          <w:bCs/>
          <w:color w:val="000000"/>
          <w:sz w:val="28"/>
          <w:szCs w:val="28"/>
        </w:rPr>
        <w:t>起草单位：</w:t>
      </w:r>
      <w:r>
        <w:rPr>
          <w:rFonts w:hint="eastAsia" w:ascii="仿宋" w:hAnsi="仿宋" w:eastAsia="仿宋"/>
          <w:bCs/>
          <w:color w:val="000000"/>
          <w:sz w:val="28"/>
          <w:szCs w:val="28"/>
        </w:rPr>
        <w:t>江西农业大学，江西省经济作物研究所，九江市农业科学院。</w:t>
      </w:r>
    </w:p>
    <w:p w14:paraId="776ED08B">
      <w:pPr>
        <w:spacing w:after="0" w:line="312" w:lineRule="auto"/>
        <w:ind w:firstLine="562" w:firstLineChars="200"/>
        <w:rPr>
          <w:rFonts w:eastAsia="仿宋_GB2312"/>
          <w:sz w:val="22"/>
          <w:szCs w:val="22"/>
        </w:rPr>
      </w:pPr>
      <w:r>
        <w:rPr>
          <w:rFonts w:hint="eastAsia" w:ascii="楷体_GB2312" w:hAnsi="仿宋" w:eastAsia="楷体_GB2312" w:cs="仿宋"/>
          <w:b/>
          <w:bCs/>
          <w:color w:val="000000"/>
          <w:sz w:val="28"/>
          <w:szCs w:val="28"/>
        </w:rPr>
        <w:t>（三）主要起草人</w:t>
      </w:r>
    </w:p>
    <w:tbl>
      <w:tblPr>
        <w:tblStyle w:val="9"/>
        <w:tblW w:w="520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70"/>
        <w:gridCol w:w="760"/>
        <w:gridCol w:w="1478"/>
        <w:gridCol w:w="3427"/>
        <w:gridCol w:w="3084"/>
      </w:tblGrid>
      <w:tr w14:paraId="4AF33C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1045" w:type="dxa"/>
            <w:vAlign w:val="center"/>
          </w:tcPr>
          <w:p w14:paraId="6101A770">
            <w:pPr>
              <w:snapToGrid w:val="0"/>
              <w:spacing w:after="0" w:line="276" w:lineRule="auto"/>
              <w:jc w:val="center"/>
              <w:rPr>
                <w:rFonts w:hint="eastAsia" w:ascii="仿宋" w:hAnsi="仿宋" w:eastAsia="仿宋"/>
                <w:bCs/>
                <w:sz w:val="24"/>
              </w:rPr>
            </w:pPr>
            <w:r>
              <w:rPr>
                <w:rFonts w:ascii="仿宋" w:hAnsi="仿宋" w:eastAsia="仿宋"/>
                <w:bCs/>
                <w:sz w:val="24"/>
              </w:rPr>
              <w:t>姓名</w:t>
            </w:r>
          </w:p>
        </w:tc>
        <w:tc>
          <w:tcPr>
            <w:tcW w:w="742" w:type="dxa"/>
            <w:vAlign w:val="center"/>
          </w:tcPr>
          <w:p w14:paraId="17815B8A">
            <w:pPr>
              <w:snapToGrid w:val="0"/>
              <w:spacing w:after="0" w:line="276" w:lineRule="auto"/>
              <w:jc w:val="center"/>
              <w:rPr>
                <w:rFonts w:hint="eastAsia" w:ascii="仿宋" w:hAnsi="仿宋" w:eastAsia="仿宋"/>
                <w:bCs/>
                <w:sz w:val="24"/>
              </w:rPr>
            </w:pPr>
            <w:r>
              <w:rPr>
                <w:rFonts w:ascii="仿宋" w:hAnsi="仿宋" w:eastAsia="仿宋"/>
                <w:bCs/>
                <w:sz w:val="24"/>
              </w:rPr>
              <w:t>性别</w:t>
            </w:r>
          </w:p>
        </w:tc>
        <w:tc>
          <w:tcPr>
            <w:tcW w:w="1442" w:type="dxa"/>
            <w:vAlign w:val="center"/>
          </w:tcPr>
          <w:p w14:paraId="58A18D88">
            <w:pPr>
              <w:snapToGrid w:val="0"/>
              <w:spacing w:after="0" w:line="276" w:lineRule="auto"/>
              <w:jc w:val="center"/>
              <w:rPr>
                <w:rFonts w:hint="eastAsia" w:ascii="仿宋" w:hAnsi="仿宋" w:eastAsia="仿宋"/>
                <w:bCs/>
                <w:sz w:val="24"/>
              </w:rPr>
            </w:pPr>
            <w:r>
              <w:rPr>
                <w:rFonts w:ascii="仿宋" w:hAnsi="仿宋" w:eastAsia="仿宋"/>
                <w:bCs/>
                <w:sz w:val="24"/>
              </w:rPr>
              <w:t>职务/职称</w:t>
            </w:r>
          </w:p>
        </w:tc>
        <w:tc>
          <w:tcPr>
            <w:tcW w:w="3345" w:type="dxa"/>
            <w:vAlign w:val="center"/>
          </w:tcPr>
          <w:p w14:paraId="48BF706C">
            <w:pPr>
              <w:snapToGrid w:val="0"/>
              <w:spacing w:after="0" w:line="276" w:lineRule="auto"/>
              <w:jc w:val="center"/>
              <w:rPr>
                <w:rFonts w:hint="eastAsia" w:ascii="仿宋" w:hAnsi="仿宋" w:eastAsia="仿宋"/>
                <w:bCs/>
                <w:sz w:val="24"/>
              </w:rPr>
            </w:pPr>
            <w:r>
              <w:rPr>
                <w:rFonts w:ascii="仿宋" w:hAnsi="仿宋" w:eastAsia="仿宋"/>
                <w:bCs/>
                <w:sz w:val="24"/>
              </w:rPr>
              <w:t>工作单位</w:t>
            </w:r>
          </w:p>
        </w:tc>
        <w:tc>
          <w:tcPr>
            <w:tcW w:w="3010" w:type="dxa"/>
            <w:vAlign w:val="center"/>
          </w:tcPr>
          <w:p w14:paraId="7348CD27">
            <w:pPr>
              <w:snapToGrid w:val="0"/>
              <w:spacing w:after="0" w:line="276" w:lineRule="auto"/>
              <w:jc w:val="center"/>
              <w:rPr>
                <w:rFonts w:hint="eastAsia" w:ascii="仿宋" w:hAnsi="仿宋" w:eastAsia="仿宋"/>
                <w:bCs/>
                <w:sz w:val="24"/>
              </w:rPr>
            </w:pPr>
            <w:r>
              <w:rPr>
                <w:rFonts w:ascii="仿宋" w:hAnsi="仿宋" w:eastAsia="仿宋"/>
                <w:bCs/>
                <w:sz w:val="24"/>
              </w:rPr>
              <w:t>任务分工</w:t>
            </w:r>
          </w:p>
        </w:tc>
      </w:tr>
      <w:tr w14:paraId="005266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jc w:val="center"/>
        </w:trPr>
        <w:tc>
          <w:tcPr>
            <w:tcW w:w="1045" w:type="dxa"/>
            <w:vAlign w:val="center"/>
          </w:tcPr>
          <w:p w14:paraId="7074BEA3">
            <w:pPr>
              <w:pStyle w:val="27"/>
              <w:widowControl w:val="0"/>
              <w:spacing w:line="276" w:lineRule="auto"/>
              <w:jc w:val="center"/>
              <w:rPr>
                <w:rFonts w:hint="eastAsia" w:ascii="仿宋" w:hAnsi="仿宋" w:eastAsia="仿宋"/>
                <w:bCs/>
                <w:sz w:val="24"/>
                <w:szCs w:val="24"/>
              </w:rPr>
            </w:pPr>
            <w:r>
              <w:rPr>
                <w:rFonts w:hint="eastAsia" w:ascii="仿宋" w:hAnsi="仿宋" w:eastAsia="仿宋"/>
                <w:bCs/>
                <w:sz w:val="24"/>
                <w:szCs w:val="24"/>
              </w:rPr>
              <w:t>刘 冰</w:t>
            </w:r>
          </w:p>
        </w:tc>
        <w:tc>
          <w:tcPr>
            <w:tcW w:w="742" w:type="dxa"/>
            <w:vAlign w:val="center"/>
          </w:tcPr>
          <w:p w14:paraId="49C2670E">
            <w:pPr>
              <w:snapToGrid w:val="0"/>
              <w:spacing w:after="0" w:line="276" w:lineRule="auto"/>
              <w:jc w:val="center"/>
              <w:rPr>
                <w:rFonts w:hint="eastAsia" w:ascii="仿宋" w:hAnsi="仿宋" w:eastAsia="仿宋"/>
                <w:bCs/>
                <w:sz w:val="24"/>
              </w:rPr>
            </w:pPr>
            <w:r>
              <w:rPr>
                <w:rFonts w:hint="eastAsia" w:ascii="仿宋" w:hAnsi="仿宋" w:eastAsia="仿宋"/>
                <w:bCs/>
                <w:sz w:val="24"/>
              </w:rPr>
              <w:t>女</w:t>
            </w:r>
          </w:p>
        </w:tc>
        <w:tc>
          <w:tcPr>
            <w:tcW w:w="1442" w:type="dxa"/>
            <w:vAlign w:val="center"/>
          </w:tcPr>
          <w:p w14:paraId="41F85708">
            <w:pPr>
              <w:snapToGrid w:val="0"/>
              <w:spacing w:after="0" w:line="276" w:lineRule="auto"/>
              <w:jc w:val="center"/>
              <w:rPr>
                <w:rFonts w:hint="eastAsia" w:ascii="仿宋" w:hAnsi="仿宋" w:eastAsia="仿宋"/>
                <w:bCs/>
                <w:sz w:val="24"/>
              </w:rPr>
            </w:pPr>
            <w:r>
              <w:rPr>
                <w:rFonts w:hint="eastAsia" w:ascii="仿宋" w:hAnsi="仿宋" w:eastAsia="仿宋"/>
                <w:bCs/>
                <w:sz w:val="24"/>
              </w:rPr>
              <w:t>副教授</w:t>
            </w:r>
          </w:p>
        </w:tc>
        <w:tc>
          <w:tcPr>
            <w:tcW w:w="3345" w:type="dxa"/>
            <w:vAlign w:val="center"/>
          </w:tcPr>
          <w:p w14:paraId="6F2FAAAA">
            <w:pPr>
              <w:snapToGrid w:val="0"/>
              <w:spacing w:after="0" w:line="276" w:lineRule="auto"/>
              <w:jc w:val="center"/>
              <w:rPr>
                <w:rFonts w:hint="eastAsia" w:ascii="仿宋" w:hAnsi="仿宋" w:eastAsia="仿宋"/>
                <w:bCs/>
                <w:sz w:val="24"/>
              </w:rPr>
            </w:pPr>
            <w:r>
              <w:rPr>
                <w:rFonts w:hint="eastAsia" w:ascii="仿宋" w:hAnsi="仿宋" w:eastAsia="仿宋"/>
                <w:bCs/>
                <w:sz w:val="24"/>
              </w:rPr>
              <w:t>江西农业大学</w:t>
            </w:r>
          </w:p>
        </w:tc>
        <w:tc>
          <w:tcPr>
            <w:tcW w:w="3010" w:type="dxa"/>
            <w:vAlign w:val="center"/>
          </w:tcPr>
          <w:p w14:paraId="12B33705">
            <w:pPr>
              <w:snapToGrid w:val="0"/>
              <w:spacing w:after="0" w:line="276" w:lineRule="auto"/>
              <w:jc w:val="center"/>
              <w:rPr>
                <w:rFonts w:hint="eastAsia" w:ascii="仿宋" w:hAnsi="仿宋" w:eastAsia="仿宋"/>
                <w:bCs/>
                <w:sz w:val="24"/>
              </w:rPr>
            </w:pPr>
            <w:r>
              <w:rPr>
                <w:rFonts w:hint="eastAsia" w:ascii="仿宋" w:hAnsi="仿宋" w:eastAsia="仿宋"/>
                <w:bCs/>
                <w:sz w:val="24"/>
              </w:rPr>
              <w:t>主持起草标准</w:t>
            </w:r>
          </w:p>
        </w:tc>
      </w:tr>
      <w:tr w14:paraId="30B7A4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 w:hRule="atLeast"/>
          <w:jc w:val="center"/>
        </w:trPr>
        <w:tc>
          <w:tcPr>
            <w:tcW w:w="1045" w:type="dxa"/>
            <w:vAlign w:val="center"/>
          </w:tcPr>
          <w:p w14:paraId="7438D21B">
            <w:pPr>
              <w:pStyle w:val="27"/>
              <w:widowControl w:val="0"/>
              <w:spacing w:line="276" w:lineRule="auto"/>
              <w:jc w:val="center"/>
              <w:rPr>
                <w:rFonts w:hint="eastAsia" w:ascii="仿宋" w:hAnsi="仿宋" w:eastAsia="仿宋"/>
                <w:bCs/>
                <w:sz w:val="24"/>
                <w:szCs w:val="24"/>
              </w:rPr>
            </w:pPr>
            <w:r>
              <w:rPr>
                <w:rFonts w:hint="eastAsia" w:ascii="仿宋" w:hAnsi="仿宋" w:eastAsia="仿宋"/>
                <w:sz w:val="24"/>
                <w:szCs w:val="24"/>
              </w:rPr>
              <w:t>魏洪义</w:t>
            </w:r>
          </w:p>
        </w:tc>
        <w:tc>
          <w:tcPr>
            <w:tcW w:w="742" w:type="dxa"/>
            <w:vAlign w:val="center"/>
          </w:tcPr>
          <w:p w14:paraId="42E153EA">
            <w:pPr>
              <w:snapToGrid w:val="0"/>
              <w:spacing w:after="0" w:line="276" w:lineRule="auto"/>
              <w:jc w:val="center"/>
              <w:rPr>
                <w:rFonts w:hint="eastAsia" w:ascii="仿宋" w:hAnsi="仿宋" w:eastAsia="仿宋"/>
                <w:bCs/>
                <w:sz w:val="24"/>
              </w:rPr>
            </w:pPr>
            <w:r>
              <w:rPr>
                <w:rFonts w:hint="eastAsia" w:ascii="仿宋" w:hAnsi="仿宋" w:eastAsia="仿宋"/>
                <w:bCs/>
                <w:sz w:val="24"/>
              </w:rPr>
              <w:t>男</w:t>
            </w:r>
          </w:p>
        </w:tc>
        <w:tc>
          <w:tcPr>
            <w:tcW w:w="1442" w:type="dxa"/>
            <w:vAlign w:val="center"/>
          </w:tcPr>
          <w:p w14:paraId="595D14D8">
            <w:pPr>
              <w:snapToGrid w:val="0"/>
              <w:spacing w:after="0" w:line="276" w:lineRule="auto"/>
              <w:jc w:val="center"/>
              <w:rPr>
                <w:rFonts w:hint="eastAsia" w:ascii="仿宋" w:hAnsi="仿宋" w:eastAsia="仿宋"/>
                <w:bCs/>
                <w:sz w:val="24"/>
              </w:rPr>
            </w:pPr>
            <w:r>
              <w:rPr>
                <w:rFonts w:hint="eastAsia" w:ascii="仿宋" w:hAnsi="仿宋" w:eastAsia="仿宋"/>
                <w:bCs/>
                <w:sz w:val="24"/>
              </w:rPr>
              <w:t>教授</w:t>
            </w:r>
          </w:p>
        </w:tc>
        <w:tc>
          <w:tcPr>
            <w:tcW w:w="3345" w:type="dxa"/>
            <w:vAlign w:val="center"/>
          </w:tcPr>
          <w:p w14:paraId="62F57E54">
            <w:pPr>
              <w:snapToGrid w:val="0"/>
              <w:spacing w:after="0" w:line="276" w:lineRule="auto"/>
              <w:jc w:val="center"/>
              <w:rPr>
                <w:rFonts w:hint="eastAsia" w:ascii="仿宋" w:hAnsi="仿宋" w:eastAsia="仿宋"/>
                <w:bCs/>
                <w:sz w:val="24"/>
              </w:rPr>
            </w:pPr>
            <w:r>
              <w:rPr>
                <w:rFonts w:hint="eastAsia" w:ascii="仿宋" w:hAnsi="仿宋" w:eastAsia="仿宋"/>
                <w:bCs/>
                <w:sz w:val="24"/>
              </w:rPr>
              <w:t>江西农业大学</w:t>
            </w:r>
          </w:p>
        </w:tc>
        <w:tc>
          <w:tcPr>
            <w:tcW w:w="3010" w:type="dxa"/>
            <w:vAlign w:val="center"/>
          </w:tcPr>
          <w:p w14:paraId="7EFC50E0">
            <w:pPr>
              <w:snapToGrid w:val="0"/>
              <w:spacing w:after="0" w:line="276" w:lineRule="auto"/>
              <w:jc w:val="center"/>
              <w:rPr>
                <w:rFonts w:hint="eastAsia" w:ascii="仿宋" w:hAnsi="仿宋" w:eastAsia="仿宋"/>
                <w:bCs/>
                <w:sz w:val="24"/>
              </w:rPr>
            </w:pPr>
            <w:r>
              <w:rPr>
                <w:rFonts w:hint="eastAsia" w:ascii="仿宋" w:hAnsi="仿宋" w:eastAsia="仿宋"/>
                <w:bCs/>
                <w:sz w:val="24"/>
              </w:rPr>
              <w:t>主要虫害防治，文本起草</w:t>
            </w:r>
          </w:p>
        </w:tc>
      </w:tr>
      <w:tr w14:paraId="13DD20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 w:hRule="atLeast"/>
          <w:jc w:val="center"/>
        </w:trPr>
        <w:tc>
          <w:tcPr>
            <w:tcW w:w="1045" w:type="dxa"/>
            <w:vAlign w:val="center"/>
          </w:tcPr>
          <w:p w14:paraId="103FD69F">
            <w:pPr>
              <w:pStyle w:val="27"/>
              <w:widowControl w:val="0"/>
              <w:spacing w:line="276" w:lineRule="auto"/>
              <w:jc w:val="center"/>
              <w:rPr>
                <w:rFonts w:hint="eastAsia" w:ascii="仿宋" w:hAnsi="仿宋" w:eastAsia="仿宋"/>
                <w:bCs/>
                <w:sz w:val="24"/>
                <w:szCs w:val="24"/>
              </w:rPr>
            </w:pPr>
            <w:r>
              <w:rPr>
                <w:rFonts w:hint="eastAsia" w:ascii="仿宋" w:hAnsi="仿宋" w:eastAsia="仿宋"/>
                <w:bCs/>
                <w:sz w:val="24"/>
                <w:szCs w:val="24"/>
              </w:rPr>
              <w:t>陈丽慧</w:t>
            </w:r>
          </w:p>
        </w:tc>
        <w:tc>
          <w:tcPr>
            <w:tcW w:w="742" w:type="dxa"/>
            <w:vAlign w:val="center"/>
          </w:tcPr>
          <w:p w14:paraId="7C194B27">
            <w:pPr>
              <w:snapToGrid w:val="0"/>
              <w:spacing w:after="0" w:line="276" w:lineRule="auto"/>
              <w:jc w:val="center"/>
              <w:rPr>
                <w:rFonts w:hint="eastAsia" w:ascii="仿宋" w:hAnsi="仿宋" w:eastAsia="仿宋"/>
                <w:bCs/>
                <w:sz w:val="24"/>
              </w:rPr>
            </w:pPr>
            <w:r>
              <w:rPr>
                <w:rFonts w:hint="eastAsia" w:ascii="仿宋" w:hAnsi="仿宋" w:eastAsia="仿宋"/>
                <w:bCs/>
                <w:sz w:val="24"/>
              </w:rPr>
              <w:t>女</w:t>
            </w:r>
          </w:p>
        </w:tc>
        <w:tc>
          <w:tcPr>
            <w:tcW w:w="1442" w:type="dxa"/>
            <w:vAlign w:val="center"/>
          </w:tcPr>
          <w:p w14:paraId="71651C9D">
            <w:pPr>
              <w:snapToGrid w:val="0"/>
              <w:spacing w:after="0" w:line="276" w:lineRule="auto"/>
              <w:jc w:val="center"/>
              <w:rPr>
                <w:rFonts w:hint="eastAsia" w:ascii="仿宋" w:hAnsi="仿宋" w:eastAsia="仿宋"/>
                <w:bCs/>
                <w:sz w:val="24"/>
              </w:rPr>
            </w:pPr>
            <w:r>
              <w:rPr>
                <w:rFonts w:hint="eastAsia" w:ascii="仿宋" w:hAnsi="仿宋" w:eastAsia="仿宋"/>
                <w:bCs/>
                <w:sz w:val="24"/>
              </w:rPr>
              <w:t>讲师</w:t>
            </w:r>
          </w:p>
        </w:tc>
        <w:tc>
          <w:tcPr>
            <w:tcW w:w="3345" w:type="dxa"/>
            <w:vAlign w:val="center"/>
          </w:tcPr>
          <w:p w14:paraId="4F07A035">
            <w:pPr>
              <w:snapToGrid w:val="0"/>
              <w:spacing w:after="0" w:line="276" w:lineRule="auto"/>
              <w:jc w:val="center"/>
              <w:rPr>
                <w:rFonts w:hint="eastAsia" w:ascii="仿宋" w:hAnsi="仿宋" w:eastAsia="仿宋"/>
                <w:bCs/>
                <w:sz w:val="24"/>
              </w:rPr>
            </w:pPr>
            <w:r>
              <w:rPr>
                <w:rFonts w:hint="eastAsia" w:ascii="仿宋" w:hAnsi="仿宋" w:eastAsia="仿宋"/>
                <w:bCs/>
                <w:sz w:val="24"/>
              </w:rPr>
              <w:t>江西农业大学</w:t>
            </w:r>
          </w:p>
        </w:tc>
        <w:tc>
          <w:tcPr>
            <w:tcW w:w="3010" w:type="dxa"/>
            <w:vAlign w:val="center"/>
          </w:tcPr>
          <w:p w14:paraId="7299DDC1">
            <w:pPr>
              <w:snapToGrid w:val="0"/>
              <w:spacing w:after="0" w:line="276" w:lineRule="auto"/>
              <w:jc w:val="center"/>
              <w:rPr>
                <w:rFonts w:hint="eastAsia" w:ascii="仿宋" w:hAnsi="仿宋" w:eastAsia="仿宋"/>
                <w:bCs/>
                <w:sz w:val="24"/>
              </w:rPr>
            </w:pPr>
            <w:r>
              <w:rPr>
                <w:rFonts w:hint="eastAsia" w:ascii="仿宋" w:hAnsi="仿宋" w:eastAsia="仿宋"/>
                <w:bCs/>
                <w:sz w:val="24"/>
              </w:rPr>
              <w:t>主要虫害调查，文本起草</w:t>
            </w:r>
          </w:p>
        </w:tc>
      </w:tr>
      <w:tr w14:paraId="617D0B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 w:hRule="atLeast"/>
          <w:jc w:val="center"/>
        </w:trPr>
        <w:tc>
          <w:tcPr>
            <w:tcW w:w="1045" w:type="dxa"/>
            <w:vAlign w:val="center"/>
          </w:tcPr>
          <w:p w14:paraId="25313A2E">
            <w:pPr>
              <w:pStyle w:val="27"/>
              <w:widowControl w:val="0"/>
              <w:spacing w:line="276" w:lineRule="auto"/>
              <w:jc w:val="center"/>
              <w:rPr>
                <w:rFonts w:hint="eastAsia" w:ascii="仿宋" w:hAnsi="仿宋" w:eastAsia="仿宋"/>
                <w:sz w:val="24"/>
                <w:szCs w:val="24"/>
              </w:rPr>
            </w:pPr>
            <w:r>
              <w:rPr>
                <w:rFonts w:hint="eastAsia" w:ascii="仿宋" w:hAnsi="仿宋" w:eastAsia="仿宋"/>
                <w:bCs/>
                <w:sz w:val="24"/>
                <w:szCs w:val="24"/>
              </w:rPr>
              <w:t>熊桂红</w:t>
            </w:r>
          </w:p>
        </w:tc>
        <w:tc>
          <w:tcPr>
            <w:tcW w:w="742" w:type="dxa"/>
            <w:vAlign w:val="center"/>
          </w:tcPr>
          <w:p w14:paraId="6C91CEF9">
            <w:pPr>
              <w:snapToGrid w:val="0"/>
              <w:spacing w:after="0" w:line="276" w:lineRule="auto"/>
              <w:jc w:val="center"/>
              <w:rPr>
                <w:rFonts w:hint="eastAsia" w:ascii="仿宋" w:hAnsi="仿宋" w:eastAsia="仿宋"/>
                <w:bCs/>
                <w:sz w:val="24"/>
              </w:rPr>
            </w:pPr>
            <w:r>
              <w:rPr>
                <w:rFonts w:hint="eastAsia" w:ascii="仿宋" w:hAnsi="仿宋" w:eastAsia="仿宋"/>
                <w:bCs/>
                <w:sz w:val="24"/>
              </w:rPr>
              <w:t>女</w:t>
            </w:r>
          </w:p>
        </w:tc>
        <w:tc>
          <w:tcPr>
            <w:tcW w:w="1442" w:type="dxa"/>
            <w:vAlign w:val="center"/>
          </w:tcPr>
          <w:p w14:paraId="30BE259D">
            <w:pPr>
              <w:snapToGrid w:val="0"/>
              <w:spacing w:after="0" w:line="276" w:lineRule="auto"/>
              <w:jc w:val="center"/>
              <w:rPr>
                <w:rFonts w:hint="eastAsia" w:ascii="仿宋" w:hAnsi="仿宋" w:eastAsia="仿宋"/>
                <w:bCs/>
                <w:sz w:val="24"/>
              </w:rPr>
            </w:pPr>
            <w:r>
              <w:rPr>
                <w:rFonts w:hint="eastAsia" w:ascii="仿宋" w:hAnsi="仿宋" w:eastAsia="仿宋"/>
                <w:bCs/>
                <w:sz w:val="24"/>
              </w:rPr>
              <w:t>副教授</w:t>
            </w:r>
          </w:p>
        </w:tc>
        <w:tc>
          <w:tcPr>
            <w:tcW w:w="3345" w:type="dxa"/>
            <w:vAlign w:val="center"/>
          </w:tcPr>
          <w:p w14:paraId="09B5B4F5">
            <w:pPr>
              <w:snapToGrid w:val="0"/>
              <w:spacing w:after="0" w:line="276" w:lineRule="auto"/>
              <w:jc w:val="center"/>
              <w:rPr>
                <w:rFonts w:hint="eastAsia" w:ascii="仿宋" w:hAnsi="仿宋" w:eastAsia="仿宋"/>
                <w:bCs/>
                <w:sz w:val="24"/>
              </w:rPr>
            </w:pPr>
            <w:r>
              <w:rPr>
                <w:rFonts w:hint="eastAsia" w:ascii="仿宋" w:hAnsi="仿宋" w:eastAsia="仿宋"/>
                <w:bCs/>
                <w:sz w:val="24"/>
              </w:rPr>
              <w:t>江西农业大学</w:t>
            </w:r>
          </w:p>
        </w:tc>
        <w:tc>
          <w:tcPr>
            <w:tcW w:w="3010" w:type="dxa"/>
            <w:vAlign w:val="center"/>
          </w:tcPr>
          <w:p w14:paraId="1AEBC1F8">
            <w:pPr>
              <w:snapToGrid w:val="0"/>
              <w:spacing w:after="0" w:line="276" w:lineRule="auto"/>
              <w:jc w:val="center"/>
              <w:rPr>
                <w:rFonts w:hint="eastAsia" w:ascii="仿宋" w:hAnsi="仿宋" w:eastAsia="仿宋"/>
                <w:bCs/>
                <w:sz w:val="24"/>
              </w:rPr>
            </w:pPr>
            <w:r>
              <w:rPr>
                <w:rFonts w:hint="eastAsia" w:ascii="仿宋" w:hAnsi="仿宋" w:eastAsia="仿宋"/>
                <w:bCs/>
                <w:sz w:val="24"/>
              </w:rPr>
              <w:t>主要病害调查，文本起草</w:t>
            </w:r>
          </w:p>
        </w:tc>
      </w:tr>
      <w:tr w14:paraId="4D4644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jc w:val="center"/>
        </w:trPr>
        <w:tc>
          <w:tcPr>
            <w:tcW w:w="1045" w:type="dxa"/>
            <w:vAlign w:val="center"/>
          </w:tcPr>
          <w:p w14:paraId="154066B6">
            <w:pPr>
              <w:snapToGrid w:val="0"/>
              <w:spacing w:after="0" w:line="276" w:lineRule="auto"/>
              <w:jc w:val="center"/>
              <w:rPr>
                <w:rFonts w:hint="eastAsia" w:ascii="仿宋" w:hAnsi="仿宋" w:eastAsia="仿宋"/>
                <w:bCs/>
                <w:sz w:val="24"/>
              </w:rPr>
            </w:pPr>
            <w:r>
              <w:rPr>
                <w:rFonts w:hint="eastAsia" w:ascii="仿宋" w:hAnsi="仿宋" w:eastAsia="仿宋"/>
                <w:bCs/>
                <w:sz w:val="24"/>
              </w:rPr>
              <w:t>王军文</w:t>
            </w:r>
          </w:p>
        </w:tc>
        <w:tc>
          <w:tcPr>
            <w:tcW w:w="742" w:type="dxa"/>
            <w:vAlign w:val="center"/>
          </w:tcPr>
          <w:p w14:paraId="62B10A24">
            <w:pPr>
              <w:snapToGrid w:val="0"/>
              <w:spacing w:after="0" w:line="276" w:lineRule="auto"/>
              <w:jc w:val="center"/>
              <w:rPr>
                <w:rFonts w:hint="eastAsia" w:ascii="仿宋" w:hAnsi="仿宋" w:eastAsia="仿宋"/>
                <w:bCs/>
                <w:sz w:val="24"/>
              </w:rPr>
            </w:pPr>
            <w:r>
              <w:rPr>
                <w:rFonts w:hint="eastAsia" w:ascii="仿宋" w:hAnsi="仿宋" w:eastAsia="仿宋"/>
                <w:bCs/>
                <w:sz w:val="24"/>
              </w:rPr>
              <w:t>男</w:t>
            </w:r>
          </w:p>
        </w:tc>
        <w:tc>
          <w:tcPr>
            <w:tcW w:w="1442" w:type="dxa"/>
            <w:vAlign w:val="center"/>
          </w:tcPr>
          <w:p w14:paraId="3CDEDF7E">
            <w:pPr>
              <w:snapToGrid w:val="0"/>
              <w:spacing w:after="0" w:line="276" w:lineRule="auto"/>
              <w:jc w:val="center"/>
              <w:rPr>
                <w:rFonts w:hint="eastAsia" w:ascii="仿宋" w:hAnsi="仿宋" w:eastAsia="仿宋"/>
                <w:bCs/>
                <w:sz w:val="24"/>
              </w:rPr>
            </w:pPr>
            <w:r>
              <w:rPr>
                <w:rFonts w:hint="eastAsia" w:ascii="仿宋" w:hAnsi="仿宋" w:eastAsia="仿宋"/>
                <w:bCs/>
                <w:sz w:val="24"/>
              </w:rPr>
              <w:t>研究员</w:t>
            </w:r>
          </w:p>
        </w:tc>
        <w:tc>
          <w:tcPr>
            <w:tcW w:w="3345" w:type="dxa"/>
            <w:vAlign w:val="center"/>
          </w:tcPr>
          <w:p w14:paraId="4D30CB80">
            <w:pPr>
              <w:snapToGrid w:val="0"/>
              <w:spacing w:after="0" w:line="276" w:lineRule="auto"/>
              <w:jc w:val="center"/>
              <w:rPr>
                <w:rFonts w:hint="eastAsia" w:ascii="仿宋" w:hAnsi="仿宋" w:eastAsia="仿宋"/>
                <w:bCs/>
                <w:sz w:val="24"/>
              </w:rPr>
            </w:pPr>
            <w:r>
              <w:rPr>
                <w:rFonts w:hint="eastAsia" w:ascii="仿宋" w:hAnsi="仿宋" w:eastAsia="仿宋"/>
                <w:bCs/>
                <w:sz w:val="24"/>
              </w:rPr>
              <w:t>江西省经济作物研究所</w:t>
            </w:r>
          </w:p>
        </w:tc>
        <w:tc>
          <w:tcPr>
            <w:tcW w:w="3010" w:type="dxa"/>
            <w:vAlign w:val="center"/>
          </w:tcPr>
          <w:p w14:paraId="63FBC876">
            <w:pPr>
              <w:snapToGrid w:val="0"/>
              <w:spacing w:after="0" w:line="276" w:lineRule="auto"/>
              <w:jc w:val="center"/>
              <w:rPr>
                <w:rFonts w:hint="eastAsia" w:ascii="仿宋" w:hAnsi="仿宋" w:eastAsia="仿宋"/>
                <w:bCs/>
                <w:sz w:val="24"/>
              </w:rPr>
            </w:pPr>
            <w:r>
              <w:rPr>
                <w:rFonts w:hint="eastAsia" w:ascii="仿宋" w:hAnsi="仿宋" w:eastAsia="仿宋"/>
                <w:bCs/>
                <w:sz w:val="24"/>
              </w:rPr>
              <w:t>试验方案完善，文本起草</w:t>
            </w:r>
          </w:p>
        </w:tc>
      </w:tr>
      <w:tr w14:paraId="5EAE57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jc w:val="center"/>
        </w:trPr>
        <w:tc>
          <w:tcPr>
            <w:tcW w:w="1045" w:type="dxa"/>
            <w:vAlign w:val="center"/>
          </w:tcPr>
          <w:p w14:paraId="09E0DD8E">
            <w:pPr>
              <w:snapToGrid w:val="0"/>
              <w:spacing w:after="0" w:line="276" w:lineRule="auto"/>
              <w:jc w:val="center"/>
              <w:rPr>
                <w:rFonts w:hint="eastAsia" w:ascii="仿宋" w:hAnsi="仿宋" w:eastAsia="仿宋"/>
                <w:bCs/>
                <w:sz w:val="24"/>
              </w:rPr>
            </w:pPr>
            <w:r>
              <w:rPr>
                <w:rFonts w:hint="eastAsia" w:ascii="仿宋" w:hAnsi="仿宋" w:eastAsia="仿宋"/>
                <w:bCs/>
                <w:sz w:val="24"/>
              </w:rPr>
              <w:t>梁财</w:t>
            </w:r>
          </w:p>
        </w:tc>
        <w:tc>
          <w:tcPr>
            <w:tcW w:w="742" w:type="dxa"/>
            <w:vAlign w:val="center"/>
          </w:tcPr>
          <w:p w14:paraId="12A04138">
            <w:pPr>
              <w:snapToGrid w:val="0"/>
              <w:spacing w:after="0" w:line="276" w:lineRule="auto"/>
              <w:jc w:val="center"/>
              <w:rPr>
                <w:rFonts w:hint="eastAsia" w:ascii="仿宋" w:hAnsi="仿宋" w:eastAsia="仿宋"/>
                <w:bCs/>
                <w:sz w:val="24"/>
              </w:rPr>
            </w:pPr>
            <w:r>
              <w:rPr>
                <w:rFonts w:hint="eastAsia" w:ascii="仿宋" w:hAnsi="仿宋" w:eastAsia="仿宋"/>
                <w:bCs/>
                <w:sz w:val="24"/>
              </w:rPr>
              <w:t>男</w:t>
            </w:r>
          </w:p>
        </w:tc>
        <w:tc>
          <w:tcPr>
            <w:tcW w:w="1442" w:type="dxa"/>
            <w:vAlign w:val="center"/>
          </w:tcPr>
          <w:p w14:paraId="28F2B067">
            <w:pPr>
              <w:snapToGrid w:val="0"/>
              <w:spacing w:after="0" w:line="276" w:lineRule="auto"/>
              <w:jc w:val="center"/>
              <w:rPr>
                <w:rFonts w:hint="eastAsia" w:ascii="仿宋" w:hAnsi="仿宋" w:eastAsia="仿宋"/>
                <w:bCs/>
                <w:sz w:val="24"/>
              </w:rPr>
            </w:pPr>
            <w:r>
              <w:rPr>
                <w:rFonts w:hint="eastAsia" w:ascii="仿宋" w:hAnsi="仿宋" w:eastAsia="仿宋"/>
                <w:bCs/>
                <w:sz w:val="24"/>
              </w:rPr>
              <w:t>高级农艺师</w:t>
            </w:r>
          </w:p>
        </w:tc>
        <w:tc>
          <w:tcPr>
            <w:tcW w:w="3345" w:type="dxa"/>
            <w:vAlign w:val="center"/>
          </w:tcPr>
          <w:p w14:paraId="01661598">
            <w:pPr>
              <w:snapToGrid w:val="0"/>
              <w:spacing w:after="0" w:line="276" w:lineRule="auto"/>
              <w:jc w:val="center"/>
              <w:rPr>
                <w:rFonts w:hint="eastAsia" w:ascii="仿宋" w:hAnsi="仿宋" w:eastAsia="仿宋"/>
                <w:bCs/>
                <w:sz w:val="24"/>
              </w:rPr>
            </w:pPr>
            <w:r>
              <w:rPr>
                <w:rFonts w:hint="eastAsia" w:ascii="仿宋" w:hAnsi="仿宋" w:eastAsia="仿宋"/>
                <w:bCs/>
                <w:sz w:val="24"/>
              </w:rPr>
              <w:t>修水县蚕桑产业服务中心</w:t>
            </w:r>
          </w:p>
        </w:tc>
        <w:tc>
          <w:tcPr>
            <w:tcW w:w="3010" w:type="dxa"/>
            <w:vAlign w:val="center"/>
          </w:tcPr>
          <w:p w14:paraId="44572835">
            <w:pPr>
              <w:snapToGrid w:val="0"/>
              <w:spacing w:after="0" w:line="276" w:lineRule="auto"/>
              <w:jc w:val="center"/>
              <w:rPr>
                <w:rFonts w:hint="eastAsia" w:ascii="仿宋" w:hAnsi="仿宋" w:eastAsia="仿宋"/>
                <w:bCs/>
                <w:sz w:val="24"/>
              </w:rPr>
            </w:pPr>
            <w:r>
              <w:rPr>
                <w:rFonts w:hint="eastAsia" w:ascii="仿宋" w:hAnsi="仿宋" w:eastAsia="仿宋"/>
                <w:bCs/>
                <w:sz w:val="24"/>
              </w:rPr>
              <w:t>主要病害防治</w:t>
            </w:r>
          </w:p>
        </w:tc>
      </w:tr>
      <w:tr w14:paraId="408682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 w:hRule="atLeast"/>
          <w:jc w:val="center"/>
        </w:trPr>
        <w:tc>
          <w:tcPr>
            <w:tcW w:w="1045" w:type="dxa"/>
            <w:vAlign w:val="center"/>
          </w:tcPr>
          <w:p w14:paraId="1BB87F8B">
            <w:pPr>
              <w:pStyle w:val="27"/>
              <w:widowControl w:val="0"/>
              <w:spacing w:line="276" w:lineRule="auto"/>
              <w:jc w:val="center"/>
              <w:rPr>
                <w:rFonts w:hint="eastAsia" w:ascii="仿宋" w:hAnsi="仿宋" w:eastAsia="仿宋"/>
                <w:bCs/>
                <w:sz w:val="24"/>
                <w:szCs w:val="24"/>
              </w:rPr>
            </w:pPr>
            <w:r>
              <w:rPr>
                <w:rFonts w:hint="eastAsia" w:ascii="仿宋" w:hAnsi="仿宋" w:eastAsia="仿宋"/>
                <w:bCs/>
                <w:sz w:val="24"/>
                <w:szCs w:val="24"/>
              </w:rPr>
              <w:t>蒋军喜</w:t>
            </w:r>
          </w:p>
        </w:tc>
        <w:tc>
          <w:tcPr>
            <w:tcW w:w="742" w:type="dxa"/>
            <w:vAlign w:val="center"/>
          </w:tcPr>
          <w:p w14:paraId="1001CB58">
            <w:pPr>
              <w:snapToGrid w:val="0"/>
              <w:spacing w:after="0" w:line="276" w:lineRule="auto"/>
              <w:jc w:val="center"/>
              <w:rPr>
                <w:rFonts w:hint="eastAsia" w:ascii="仿宋" w:hAnsi="仿宋" w:eastAsia="仿宋"/>
                <w:bCs/>
                <w:sz w:val="24"/>
              </w:rPr>
            </w:pPr>
            <w:r>
              <w:rPr>
                <w:rFonts w:hint="eastAsia" w:ascii="仿宋" w:hAnsi="仿宋" w:eastAsia="仿宋"/>
                <w:bCs/>
                <w:sz w:val="24"/>
              </w:rPr>
              <w:t>男</w:t>
            </w:r>
          </w:p>
        </w:tc>
        <w:tc>
          <w:tcPr>
            <w:tcW w:w="1442" w:type="dxa"/>
            <w:vAlign w:val="center"/>
          </w:tcPr>
          <w:p w14:paraId="2FE2AC43">
            <w:pPr>
              <w:snapToGrid w:val="0"/>
              <w:spacing w:after="0" w:line="276" w:lineRule="auto"/>
              <w:jc w:val="center"/>
              <w:rPr>
                <w:rFonts w:hint="eastAsia" w:ascii="仿宋" w:hAnsi="仿宋" w:eastAsia="仿宋"/>
                <w:bCs/>
                <w:sz w:val="24"/>
              </w:rPr>
            </w:pPr>
            <w:r>
              <w:rPr>
                <w:rFonts w:hint="eastAsia" w:ascii="仿宋" w:hAnsi="仿宋" w:eastAsia="仿宋"/>
                <w:bCs/>
                <w:sz w:val="24"/>
              </w:rPr>
              <w:t>教授</w:t>
            </w:r>
          </w:p>
        </w:tc>
        <w:tc>
          <w:tcPr>
            <w:tcW w:w="3345" w:type="dxa"/>
            <w:vAlign w:val="center"/>
          </w:tcPr>
          <w:p w14:paraId="25F75025">
            <w:pPr>
              <w:snapToGrid w:val="0"/>
              <w:spacing w:after="0" w:line="276" w:lineRule="auto"/>
              <w:jc w:val="center"/>
              <w:rPr>
                <w:rFonts w:hint="eastAsia" w:ascii="仿宋" w:hAnsi="仿宋" w:eastAsia="仿宋"/>
                <w:bCs/>
                <w:sz w:val="24"/>
              </w:rPr>
            </w:pPr>
            <w:r>
              <w:rPr>
                <w:rFonts w:hint="eastAsia" w:ascii="仿宋" w:hAnsi="仿宋" w:eastAsia="仿宋"/>
                <w:bCs/>
                <w:sz w:val="24"/>
              </w:rPr>
              <w:t>江西农业大学</w:t>
            </w:r>
          </w:p>
        </w:tc>
        <w:tc>
          <w:tcPr>
            <w:tcW w:w="3010" w:type="dxa"/>
            <w:vAlign w:val="center"/>
          </w:tcPr>
          <w:p w14:paraId="1BCA7210">
            <w:pPr>
              <w:snapToGrid w:val="0"/>
              <w:spacing w:after="0" w:line="276" w:lineRule="auto"/>
              <w:jc w:val="center"/>
              <w:rPr>
                <w:rFonts w:hint="eastAsia" w:ascii="仿宋" w:hAnsi="仿宋" w:eastAsia="仿宋"/>
                <w:bCs/>
                <w:sz w:val="24"/>
              </w:rPr>
            </w:pPr>
            <w:r>
              <w:rPr>
                <w:rFonts w:hint="eastAsia" w:ascii="仿宋" w:hAnsi="仿宋" w:eastAsia="仿宋"/>
                <w:bCs/>
                <w:sz w:val="24"/>
              </w:rPr>
              <w:t>主要病害防治</w:t>
            </w:r>
          </w:p>
        </w:tc>
      </w:tr>
      <w:tr w14:paraId="5CC213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 w:hRule="atLeast"/>
          <w:jc w:val="center"/>
        </w:trPr>
        <w:tc>
          <w:tcPr>
            <w:tcW w:w="1045" w:type="dxa"/>
            <w:vAlign w:val="center"/>
          </w:tcPr>
          <w:p w14:paraId="0345011C">
            <w:pPr>
              <w:pStyle w:val="27"/>
              <w:widowControl w:val="0"/>
              <w:spacing w:line="276" w:lineRule="auto"/>
              <w:jc w:val="center"/>
              <w:rPr>
                <w:rFonts w:hint="eastAsia" w:ascii="仿宋" w:hAnsi="仿宋" w:eastAsia="仿宋"/>
                <w:bCs/>
                <w:sz w:val="24"/>
                <w:szCs w:val="24"/>
              </w:rPr>
            </w:pPr>
            <w:r>
              <w:rPr>
                <w:rFonts w:hint="eastAsia" w:ascii="仿宋" w:hAnsi="仿宋" w:eastAsia="仿宋"/>
                <w:bCs/>
                <w:sz w:val="24"/>
                <w:szCs w:val="24"/>
              </w:rPr>
              <w:t>叶茵</w:t>
            </w:r>
          </w:p>
        </w:tc>
        <w:tc>
          <w:tcPr>
            <w:tcW w:w="742" w:type="dxa"/>
            <w:vAlign w:val="center"/>
          </w:tcPr>
          <w:p w14:paraId="09484D4B">
            <w:pPr>
              <w:snapToGrid w:val="0"/>
              <w:spacing w:after="0" w:line="276" w:lineRule="auto"/>
              <w:jc w:val="center"/>
              <w:rPr>
                <w:rFonts w:hint="eastAsia" w:ascii="仿宋" w:hAnsi="仿宋" w:eastAsia="仿宋"/>
                <w:bCs/>
                <w:sz w:val="24"/>
              </w:rPr>
            </w:pPr>
            <w:r>
              <w:rPr>
                <w:rFonts w:hint="eastAsia" w:ascii="仿宋" w:hAnsi="仿宋" w:eastAsia="仿宋"/>
                <w:bCs/>
                <w:sz w:val="24"/>
              </w:rPr>
              <w:t>女</w:t>
            </w:r>
          </w:p>
        </w:tc>
        <w:tc>
          <w:tcPr>
            <w:tcW w:w="1442" w:type="dxa"/>
            <w:vAlign w:val="center"/>
          </w:tcPr>
          <w:p w14:paraId="35C9D99E">
            <w:pPr>
              <w:snapToGrid w:val="0"/>
              <w:spacing w:after="0" w:line="276" w:lineRule="auto"/>
              <w:jc w:val="center"/>
              <w:rPr>
                <w:rFonts w:hint="eastAsia" w:ascii="仿宋" w:hAnsi="仿宋" w:eastAsia="仿宋"/>
                <w:bCs/>
                <w:sz w:val="24"/>
              </w:rPr>
            </w:pPr>
            <w:r>
              <w:rPr>
                <w:rFonts w:hint="eastAsia" w:ascii="仿宋" w:hAnsi="仿宋" w:eastAsia="仿宋"/>
                <w:bCs/>
                <w:sz w:val="24"/>
              </w:rPr>
              <w:t>农艺师</w:t>
            </w:r>
          </w:p>
        </w:tc>
        <w:tc>
          <w:tcPr>
            <w:tcW w:w="3345" w:type="dxa"/>
            <w:vAlign w:val="center"/>
          </w:tcPr>
          <w:p w14:paraId="1BAE42AE">
            <w:pPr>
              <w:snapToGrid w:val="0"/>
              <w:spacing w:after="0" w:line="276" w:lineRule="auto"/>
              <w:jc w:val="center"/>
              <w:rPr>
                <w:rFonts w:hint="eastAsia" w:ascii="仿宋" w:hAnsi="仿宋" w:eastAsia="仿宋"/>
                <w:bCs/>
                <w:sz w:val="24"/>
              </w:rPr>
            </w:pPr>
            <w:bookmarkStart w:id="1" w:name="OLE_LINK3"/>
            <w:r>
              <w:rPr>
                <w:rFonts w:hint="eastAsia" w:ascii="仿宋" w:hAnsi="仿宋" w:eastAsia="仿宋"/>
                <w:bCs/>
                <w:sz w:val="24"/>
              </w:rPr>
              <w:t>九江市农业科学院</w:t>
            </w:r>
            <w:bookmarkEnd w:id="1"/>
          </w:p>
        </w:tc>
        <w:tc>
          <w:tcPr>
            <w:tcW w:w="3010" w:type="dxa"/>
            <w:vAlign w:val="center"/>
          </w:tcPr>
          <w:p w14:paraId="0740D1ED">
            <w:pPr>
              <w:snapToGrid w:val="0"/>
              <w:spacing w:after="0" w:line="276" w:lineRule="auto"/>
              <w:jc w:val="center"/>
              <w:rPr>
                <w:rFonts w:hint="eastAsia" w:ascii="仿宋" w:hAnsi="仿宋" w:eastAsia="仿宋"/>
                <w:bCs/>
                <w:sz w:val="24"/>
              </w:rPr>
            </w:pPr>
            <w:bookmarkStart w:id="2" w:name="OLE_LINK2"/>
            <w:r>
              <w:rPr>
                <w:rFonts w:hint="eastAsia" w:ascii="仿宋" w:hAnsi="仿宋" w:eastAsia="仿宋"/>
                <w:bCs/>
                <w:sz w:val="24"/>
              </w:rPr>
              <w:t>肥水管理调查</w:t>
            </w:r>
            <w:bookmarkEnd w:id="2"/>
          </w:p>
        </w:tc>
      </w:tr>
      <w:tr w14:paraId="65CBA8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 w:hRule="atLeast"/>
          <w:jc w:val="center"/>
        </w:trPr>
        <w:tc>
          <w:tcPr>
            <w:tcW w:w="1045" w:type="dxa"/>
            <w:vAlign w:val="center"/>
          </w:tcPr>
          <w:p w14:paraId="1C80E9EB">
            <w:pPr>
              <w:pStyle w:val="27"/>
              <w:widowControl w:val="0"/>
              <w:spacing w:line="276" w:lineRule="auto"/>
              <w:jc w:val="center"/>
              <w:rPr>
                <w:rFonts w:hint="eastAsia" w:ascii="仿宋" w:hAnsi="仿宋" w:eastAsia="仿宋"/>
                <w:bCs/>
                <w:sz w:val="24"/>
                <w:szCs w:val="24"/>
              </w:rPr>
            </w:pPr>
            <w:r>
              <w:rPr>
                <w:rFonts w:hint="eastAsia" w:ascii="仿宋" w:hAnsi="仿宋" w:eastAsia="仿宋"/>
                <w:bCs/>
                <w:sz w:val="24"/>
                <w:szCs w:val="24"/>
              </w:rPr>
              <w:t>彭文文</w:t>
            </w:r>
          </w:p>
        </w:tc>
        <w:tc>
          <w:tcPr>
            <w:tcW w:w="742" w:type="dxa"/>
            <w:vAlign w:val="center"/>
          </w:tcPr>
          <w:p w14:paraId="189A8DAD">
            <w:pPr>
              <w:snapToGrid w:val="0"/>
              <w:spacing w:after="0" w:line="276" w:lineRule="auto"/>
              <w:jc w:val="center"/>
              <w:rPr>
                <w:rFonts w:hint="eastAsia" w:ascii="仿宋" w:hAnsi="仿宋" w:eastAsia="仿宋"/>
                <w:bCs/>
                <w:sz w:val="24"/>
              </w:rPr>
            </w:pPr>
            <w:r>
              <w:rPr>
                <w:rFonts w:hint="eastAsia" w:ascii="仿宋" w:hAnsi="仿宋" w:eastAsia="仿宋"/>
                <w:bCs/>
                <w:sz w:val="24"/>
              </w:rPr>
              <w:t>男</w:t>
            </w:r>
          </w:p>
        </w:tc>
        <w:tc>
          <w:tcPr>
            <w:tcW w:w="1442" w:type="dxa"/>
            <w:vAlign w:val="center"/>
          </w:tcPr>
          <w:p w14:paraId="7C39ED40">
            <w:pPr>
              <w:snapToGrid w:val="0"/>
              <w:spacing w:after="0" w:line="276" w:lineRule="auto"/>
              <w:jc w:val="center"/>
              <w:rPr>
                <w:rFonts w:hint="eastAsia" w:ascii="仿宋" w:hAnsi="仿宋" w:eastAsia="仿宋"/>
                <w:bCs/>
                <w:sz w:val="24"/>
              </w:rPr>
            </w:pPr>
            <w:r>
              <w:rPr>
                <w:rFonts w:hint="eastAsia" w:ascii="仿宋" w:hAnsi="仿宋" w:eastAsia="仿宋"/>
                <w:bCs/>
                <w:sz w:val="24"/>
              </w:rPr>
              <w:t>副教授</w:t>
            </w:r>
          </w:p>
        </w:tc>
        <w:tc>
          <w:tcPr>
            <w:tcW w:w="3345" w:type="dxa"/>
            <w:vAlign w:val="center"/>
          </w:tcPr>
          <w:p w14:paraId="554FB46C">
            <w:pPr>
              <w:snapToGrid w:val="0"/>
              <w:spacing w:after="0" w:line="276" w:lineRule="auto"/>
              <w:jc w:val="center"/>
              <w:rPr>
                <w:rFonts w:hint="eastAsia" w:ascii="仿宋" w:hAnsi="仿宋" w:eastAsia="仿宋"/>
                <w:bCs/>
                <w:sz w:val="24"/>
              </w:rPr>
            </w:pPr>
            <w:r>
              <w:rPr>
                <w:rFonts w:hint="eastAsia" w:ascii="仿宋" w:hAnsi="仿宋" w:eastAsia="仿宋"/>
                <w:bCs/>
                <w:sz w:val="24"/>
              </w:rPr>
              <w:t>江西农业大学</w:t>
            </w:r>
          </w:p>
        </w:tc>
        <w:tc>
          <w:tcPr>
            <w:tcW w:w="3010" w:type="dxa"/>
            <w:vAlign w:val="center"/>
          </w:tcPr>
          <w:p w14:paraId="6DC97CF5">
            <w:pPr>
              <w:snapToGrid w:val="0"/>
              <w:spacing w:after="0" w:line="276" w:lineRule="auto"/>
              <w:jc w:val="center"/>
              <w:rPr>
                <w:rFonts w:hint="eastAsia" w:ascii="仿宋" w:hAnsi="仿宋" w:eastAsia="仿宋"/>
                <w:bCs/>
                <w:sz w:val="24"/>
              </w:rPr>
            </w:pPr>
            <w:r>
              <w:rPr>
                <w:rFonts w:hint="eastAsia" w:ascii="仿宋" w:hAnsi="仿宋" w:eastAsia="仿宋"/>
                <w:bCs/>
                <w:sz w:val="24"/>
              </w:rPr>
              <w:t>残留检测</w:t>
            </w:r>
          </w:p>
        </w:tc>
      </w:tr>
      <w:tr w14:paraId="5266B6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 w:hRule="atLeast"/>
          <w:jc w:val="center"/>
        </w:trPr>
        <w:tc>
          <w:tcPr>
            <w:tcW w:w="1045" w:type="dxa"/>
            <w:vAlign w:val="center"/>
          </w:tcPr>
          <w:p w14:paraId="50FEE8C3">
            <w:pPr>
              <w:pStyle w:val="27"/>
              <w:widowControl w:val="0"/>
              <w:spacing w:line="276" w:lineRule="auto"/>
              <w:jc w:val="center"/>
              <w:rPr>
                <w:rFonts w:hint="eastAsia" w:ascii="仿宋" w:hAnsi="仿宋" w:eastAsia="仿宋"/>
                <w:bCs/>
                <w:sz w:val="24"/>
                <w:szCs w:val="24"/>
              </w:rPr>
            </w:pPr>
            <w:r>
              <w:rPr>
                <w:rFonts w:hint="eastAsia" w:ascii="仿宋" w:hAnsi="仿宋" w:eastAsia="仿宋"/>
                <w:bCs/>
                <w:sz w:val="24"/>
                <w:szCs w:val="24"/>
              </w:rPr>
              <w:t>刘彤珂</w:t>
            </w:r>
          </w:p>
        </w:tc>
        <w:tc>
          <w:tcPr>
            <w:tcW w:w="742" w:type="dxa"/>
            <w:vAlign w:val="center"/>
          </w:tcPr>
          <w:p w14:paraId="5E345FB3">
            <w:pPr>
              <w:snapToGrid w:val="0"/>
              <w:spacing w:after="0" w:line="276" w:lineRule="auto"/>
              <w:jc w:val="center"/>
              <w:rPr>
                <w:rFonts w:hint="eastAsia" w:ascii="仿宋" w:hAnsi="仿宋" w:eastAsia="仿宋"/>
                <w:bCs/>
                <w:sz w:val="24"/>
              </w:rPr>
            </w:pPr>
            <w:r>
              <w:rPr>
                <w:rFonts w:hint="eastAsia" w:ascii="仿宋" w:hAnsi="仿宋" w:eastAsia="仿宋"/>
                <w:bCs/>
                <w:sz w:val="24"/>
              </w:rPr>
              <w:t>女</w:t>
            </w:r>
          </w:p>
        </w:tc>
        <w:tc>
          <w:tcPr>
            <w:tcW w:w="1442" w:type="dxa"/>
            <w:vAlign w:val="center"/>
          </w:tcPr>
          <w:p w14:paraId="1A482E38">
            <w:pPr>
              <w:snapToGrid w:val="0"/>
              <w:spacing w:after="0" w:line="276" w:lineRule="auto"/>
              <w:jc w:val="center"/>
              <w:rPr>
                <w:rFonts w:hint="eastAsia" w:ascii="仿宋" w:hAnsi="仿宋" w:eastAsia="仿宋"/>
                <w:bCs/>
                <w:sz w:val="24"/>
              </w:rPr>
            </w:pPr>
            <w:r>
              <w:rPr>
                <w:rFonts w:hint="eastAsia" w:ascii="仿宋" w:hAnsi="仿宋" w:eastAsia="仿宋"/>
                <w:bCs/>
                <w:sz w:val="24"/>
              </w:rPr>
              <w:t>—</w:t>
            </w:r>
          </w:p>
        </w:tc>
        <w:tc>
          <w:tcPr>
            <w:tcW w:w="3345" w:type="dxa"/>
            <w:vAlign w:val="center"/>
          </w:tcPr>
          <w:p w14:paraId="5E21EC2A">
            <w:pPr>
              <w:snapToGrid w:val="0"/>
              <w:spacing w:after="0" w:line="276" w:lineRule="auto"/>
              <w:jc w:val="center"/>
              <w:rPr>
                <w:rFonts w:hint="eastAsia" w:ascii="仿宋" w:hAnsi="仿宋" w:eastAsia="仿宋"/>
                <w:bCs/>
                <w:sz w:val="24"/>
              </w:rPr>
            </w:pPr>
            <w:r>
              <w:rPr>
                <w:rFonts w:hint="eastAsia" w:ascii="仿宋" w:hAnsi="仿宋" w:eastAsia="仿宋"/>
                <w:bCs/>
                <w:sz w:val="24"/>
              </w:rPr>
              <w:t>江西农业大学</w:t>
            </w:r>
          </w:p>
        </w:tc>
        <w:tc>
          <w:tcPr>
            <w:tcW w:w="3010" w:type="dxa"/>
            <w:vAlign w:val="center"/>
          </w:tcPr>
          <w:p w14:paraId="566DEE95">
            <w:pPr>
              <w:snapToGrid w:val="0"/>
              <w:spacing w:after="0" w:line="276" w:lineRule="auto"/>
              <w:jc w:val="center"/>
              <w:rPr>
                <w:rFonts w:hint="eastAsia" w:ascii="仿宋" w:hAnsi="仿宋" w:eastAsia="仿宋"/>
                <w:bCs/>
                <w:sz w:val="24"/>
              </w:rPr>
            </w:pPr>
            <w:bookmarkStart w:id="3" w:name="OLE_LINK11"/>
            <w:r>
              <w:rPr>
                <w:rFonts w:hint="eastAsia" w:ascii="仿宋" w:hAnsi="仿宋" w:eastAsia="仿宋"/>
                <w:bCs/>
                <w:sz w:val="24"/>
              </w:rPr>
              <w:t>资料收集，文本起草</w:t>
            </w:r>
            <w:bookmarkEnd w:id="3"/>
          </w:p>
        </w:tc>
      </w:tr>
      <w:tr w14:paraId="7EFBD1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 w:hRule="atLeast"/>
          <w:jc w:val="center"/>
        </w:trPr>
        <w:tc>
          <w:tcPr>
            <w:tcW w:w="1045" w:type="dxa"/>
            <w:vAlign w:val="center"/>
          </w:tcPr>
          <w:p w14:paraId="6DF92BD9">
            <w:pPr>
              <w:pStyle w:val="27"/>
              <w:widowControl w:val="0"/>
              <w:spacing w:line="276" w:lineRule="auto"/>
              <w:jc w:val="center"/>
              <w:rPr>
                <w:rFonts w:hint="eastAsia" w:ascii="仿宋" w:hAnsi="仿宋" w:eastAsia="仿宋"/>
                <w:bCs/>
                <w:sz w:val="24"/>
                <w:szCs w:val="24"/>
              </w:rPr>
            </w:pPr>
            <w:r>
              <w:rPr>
                <w:rFonts w:hint="eastAsia" w:ascii="仿宋" w:hAnsi="仿宋" w:eastAsia="仿宋"/>
                <w:bCs/>
                <w:sz w:val="24"/>
                <w:szCs w:val="24"/>
              </w:rPr>
              <w:t>童艺雯</w:t>
            </w:r>
          </w:p>
        </w:tc>
        <w:tc>
          <w:tcPr>
            <w:tcW w:w="742" w:type="dxa"/>
            <w:vAlign w:val="center"/>
          </w:tcPr>
          <w:p w14:paraId="0B141F3E">
            <w:pPr>
              <w:snapToGrid w:val="0"/>
              <w:spacing w:after="0" w:line="276" w:lineRule="auto"/>
              <w:jc w:val="center"/>
              <w:rPr>
                <w:rFonts w:hint="eastAsia" w:ascii="仿宋" w:hAnsi="仿宋" w:eastAsia="仿宋"/>
                <w:bCs/>
                <w:sz w:val="24"/>
              </w:rPr>
            </w:pPr>
            <w:r>
              <w:rPr>
                <w:rFonts w:hint="eastAsia" w:ascii="仿宋" w:hAnsi="仿宋" w:eastAsia="仿宋"/>
                <w:bCs/>
                <w:sz w:val="24"/>
              </w:rPr>
              <w:t>女</w:t>
            </w:r>
          </w:p>
        </w:tc>
        <w:tc>
          <w:tcPr>
            <w:tcW w:w="1442" w:type="dxa"/>
            <w:vAlign w:val="center"/>
          </w:tcPr>
          <w:p w14:paraId="1DFF474C">
            <w:pPr>
              <w:snapToGrid w:val="0"/>
              <w:spacing w:after="0" w:line="276" w:lineRule="auto"/>
              <w:jc w:val="center"/>
              <w:rPr>
                <w:rFonts w:hint="eastAsia" w:ascii="仿宋" w:hAnsi="仿宋" w:eastAsia="仿宋"/>
                <w:bCs/>
                <w:sz w:val="24"/>
              </w:rPr>
            </w:pPr>
            <w:r>
              <w:rPr>
                <w:rFonts w:hint="eastAsia" w:ascii="仿宋" w:hAnsi="仿宋" w:eastAsia="仿宋"/>
                <w:bCs/>
                <w:sz w:val="24"/>
              </w:rPr>
              <w:t>助理农艺师</w:t>
            </w:r>
          </w:p>
        </w:tc>
        <w:tc>
          <w:tcPr>
            <w:tcW w:w="3345" w:type="dxa"/>
            <w:vAlign w:val="center"/>
          </w:tcPr>
          <w:p w14:paraId="655EE3CE">
            <w:pPr>
              <w:snapToGrid w:val="0"/>
              <w:spacing w:after="0" w:line="276" w:lineRule="auto"/>
              <w:jc w:val="center"/>
              <w:rPr>
                <w:rFonts w:hint="eastAsia" w:ascii="仿宋" w:hAnsi="仿宋" w:eastAsia="仿宋"/>
                <w:bCs/>
                <w:sz w:val="24"/>
              </w:rPr>
            </w:pPr>
            <w:r>
              <w:rPr>
                <w:rFonts w:hint="eastAsia" w:ascii="仿宋" w:hAnsi="仿宋" w:eastAsia="仿宋"/>
                <w:bCs/>
                <w:sz w:val="24"/>
              </w:rPr>
              <w:t>南昌市</w:t>
            </w:r>
            <w:r>
              <w:rPr>
                <w:rFonts w:hint="eastAsia" w:ascii="仿宋" w:hAnsi="仿宋" w:eastAsia="仿宋"/>
                <w:bCs/>
                <w:sz w:val="24"/>
                <w:lang w:eastAsia="zh-CN"/>
              </w:rPr>
              <w:t>政务服务数据管理局</w:t>
            </w:r>
          </w:p>
        </w:tc>
        <w:tc>
          <w:tcPr>
            <w:tcW w:w="3010" w:type="dxa"/>
            <w:vAlign w:val="center"/>
          </w:tcPr>
          <w:p w14:paraId="045654B2">
            <w:pPr>
              <w:snapToGrid w:val="0"/>
              <w:spacing w:after="0" w:line="276" w:lineRule="auto"/>
              <w:jc w:val="center"/>
              <w:rPr>
                <w:rFonts w:hint="eastAsia" w:ascii="仿宋" w:hAnsi="仿宋" w:eastAsia="仿宋"/>
                <w:bCs/>
                <w:sz w:val="24"/>
              </w:rPr>
            </w:pPr>
            <w:r>
              <w:rPr>
                <w:rFonts w:hint="eastAsia" w:ascii="仿宋" w:hAnsi="仿宋" w:eastAsia="仿宋"/>
                <w:bCs/>
                <w:sz w:val="24"/>
              </w:rPr>
              <w:t>资料收集</w:t>
            </w:r>
          </w:p>
        </w:tc>
      </w:tr>
      <w:tr w14:paraId="50ABCF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 w:hRule="atLeast"/>
          <w:jc w:val="center"/>
        </w:trPr>
        <w:tc>
          <w:tcPr>
            <w:tcW w:w="1045" w:type="dxa"/>
            <w:vAlign w:val="center"/>
          </w:tcPr>
          <w:p w14:paraId="381900FB">
            <w:pPr>
              <w:pStyle w:val="27"/>
              <w:widowControl w:val="0"/>
              <w:spacing w:line="276" w:lineRule="auto"/>
              <w:jc w:val="center"/>
              <w:rPr>
                <w:rFonts w:hint="eastAsia" w:ascii="仿宋" w:hAnsi="仿宋" w:eastAsia="仿宋"/>
                <w:bCs/>
                <w:sz w:val="24"/>
                <w:szCs w:val="24"/>
              </w:rPr>
            </w:pPr>
            <w:r>
              <w:rPr>
                <w:rFonts w:hint="eastAsia" w:ascii="仿宋" w:hAnsi="仿宋" w:eastAsia="仿宋"/>
                <w:bCs/>
                <w:sz w:val="24"/>
                <w:szCs w:val="24"/>
              </w:rPr>
              <w:t>陈三行</w:t>
            </w:r>
          </w:p>
        </w:tc>
        <w:tc>
          <w:tcPr>
            <w:tcW w:w="742" w:type="dxa"/>
            <w:vAlign w:val="center"/>
          </w:tcPr>
          <w:p w14:paraId="32476B43">
            <w:pPr>
              <w:snapToGrid w:val="0"/>
              <w:spacing w:after="0" w:line="276" w:lineRule="auto"/>
              <w:jc w:val="center"/>
              <w:rPr>
                <w:rFonts w:hint="eastAsia" w:ascii="仿宋" w:hAnsi="仿宋" w:eastAsia="仿宋"/>
                <w:bCs/>
                <w:sz w:val="24"/>
              </w:rPr>
            </w:pPr>
            <w:r>
              <w:rPr>
                <w:rFonts w:hint="eastAsia" w:ascii="仿宋" w:hAnsi="仿宋" w:eastAsia="仿宋"/>
                <w:bCs/>
                <w:sz w:val="24"/>
              </w:rPr>
              <w:t>男</w:t>
            </w:r>
          </w:p>
        </w:tc>
        <w:tc>
          <w:tcPr>
            <w:tcW w:w="1442" w:type="dxa"/>
            <w:vAlign w:val="center"/>
          </w:tcPr>
          <w:p w14:paraId="78EAA727">
            <w:pPr>
              <w:snapToGrid w:val="0"/>
              <w:spacing w:after="0" w:line="276" w:lineRule="auto"/>
              <w:jc w:val="center"/>
              <w:rPr>
                <w:rFonts w:hint="eastAsia" w:ascii="仿宋" w:hAnsi="仿宋" w:eastAsia="仿宋"/>
                <w:bCs/>
                <w:sz w:val="24"/>
              </w:rPr>
            </w:pPr>
            <w:r>
              <w:rPr>
                <w:rFonts w:hint="eastAsia" w:ascii="仿宋" w:hAnsi="仿宋" w:eastAsia="仿宋"/>
                <w:bCs/>
                <w:sz w:val="24"/>
              </w:rPr>
              <w:t>农艺师</w:t>
            </w:r>
          </w:p>
        </w:tc>
        <w:tc>
          <w:tcPr>
            <w:tcW w:w="3345" w:type="dxa"/>
            <w:vAlign w:val="center"/>
          </w:tcPr>
          <w:p w14:paraId="5D1B7DC0">
            <w:pPr>
              <w:snapToGrid w:val="0"/>
              <w:spacing w:after="0" w:line="276" w:lineRule="auto"/>
              <w:jc w:val="center"/>
              <w:rPr>
                <w:rFonts w:hint="eastAsia" w:ascii="仿宋" w:hAnsi="仿宋" w:eastAsia="仿宋"/>
                <w:bCs/>
                <w:sz w:val="24"/>
              </w:rPr>
            </w:pPr>
            <w:r>
              <w:rPr>
                <w:rFonts w:hint="eastAsia" w:ascii="仿宋" w:hAnsi="仿宋" w:eastAsia="仿宋"/>
                <w:bCs/>
                <w:sz w:val="24"/>
              </w:rPr>
              <w:t>修水县蚕桑产业服务中心庙岭乡农业技术推广站</w:t>
            </w:r>
          </w:p>
        </w:tc>
        <w:tc>
          <w:tcPr>
            <w:tcW w:w="3010" w:type="dxa"/>
            <w:vAlign w:val="center"/>
          </w:tcPr>
          <w:p w14:paraId="02B40EE3">
            <w:pPr>
              <w:snapToGrid w:val="0"/>
              <w:spacing w:after="0" w:line="276" w:lineRule="auto"/>
              <w:jc w:val="center"/>
              <w:rPr>
                <w:rFonts w:hint="eastAsia" w:ascii="仿宋" w:hAnsi="仿宋" w:eastAsia="仿宋"/>
                <w:bCs/>
                <w:sz w:val="24"/>
              </w:rPr>
            </w:pPr>
            <w:r>
              <w:rPr>
                <w:rFonts w:hint="eastAsia" w:ascii="仿宋" w:hAnsi="仿宋" w:eastAsia="仿宋"/>
                <w:bCs/>
                <w:sz w:val="24"/>
              </w:rPr>
              <w:t>主要虫害防治调查</w:t>
            </w:r>
          </w:p>
        </w:tc>
      </w:tr>
      <w:tr w14:paraId="36DE6E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 w:hRule="atLeast"/>
          <w:jc w:val="center"/>
        </w:trPr>
        <w:tc>
          <w:tcPr>
            <w:tcW w:w="1045" w:type="dxa"/>
            <w:vAlign w:val="center"/>
          </w:tcPr>
          <w:p w14:paraId="2FE55E7D">
            <w:pPr>
              <w:pStyle w:val="27"/>
              <w:widowControl w:val="0"/>
              <w:spacing w:line="276" w:lineRule="auto"/>
              <w:jc w:val="center"/>
              <w:rPr>
                <w:rFonts w:hint="eastAsia" w:ascii="仿宋" w:hAnsi="仿宋" w:eastAsia="仿宋"/>
                <w:bCs/>
                <w:sz w:val="24"/>
                <w:szCs w:val="24"/>
              </w:rPr>
            </w:pPr>
            <w:r>
              <w:rPr>
                <w:rFonts w:hint="eastAsia" w:ascii="仿宋" w:hAnsi="仿宋" w:eastAsia="仿宋"/>
                <w:bCs/>
                <w:sz w:val="24"/>
                <w:szCs w:val="24"/>
              </w:rPr>
              <w:t>冷庭学</w:t>
            </w:r>
          </w:p>
        </w:tc>
        <w:tc>
          <w:tcPr>
            <w:tcW w:w="742" w:type="dxa"/>
            <w:vAlign w:val="center"/>
          </w:tcPr>
          <w:p w14:paraId="0D66A094">
            <w:pPr>
              <w:snapToGrid w:val="0"/>
              <w:spacing w:after="0" w:line="276" w:lineRule="auto"/>
              <w:jc w:val="center"/>
              <w:rPr>
                <w:rFonts w:hint="eastAsia" w:ascii="仿宋" w:hAnsi="仿宋" w:eastAsia="仿宋"/>
                <w:bCs/>
                <w:sz w:val="24"/>
              </w:rPr>
            </w:pPr>
            <w:r>
              <w:rPr>
                <w:rFonts w:hint="eastAsia" w:ascii="仿宋" w:hAnsi="仿宋" w:eastAsia="仿宋"/>
                <w:bCs/>
                <w:sz w:val="24"/>
              </w:rPr>
              <w:t>男</w:t>
            </w:r>
          </w:p>
        </w:tc>
        <w:tc>
          <w:tcPr>
            <w:tcW w:w="1442" w:type="dxa"/>
            <w:vAlign w:val="center"/>
          </w:tcPr>
          <w:p w14:paraId="352B05F6">
            <w:pPr>
              <w:snapToGrid w:val="0"/>
              <w:spacing w:after="0" w:line="276" w:lineRule="auto"/>
              <w:jc w:val="center"/>
              <w:rPr>
                <w:rFonts w:hint="eastAsia" w:ascii="仿宋" w:hAnsi="仿宋" w:eastAsia="仿宋"/>
                <w:bCs/>
                <w:sz w:val="24"/>
              </w:rPr>
            </w:pPr>
            <w:r>
              <w:rPr>
                <w:rFonts w:hint="eastAsia" w:ascii="仿宋" w:hAnsi="仿宋" w:eastAsia="仿宋"/>
                <w:bCs/>
                <w:sz w:val="24"/>
              </w:rPr>
              <w:t>助理农艺师</w:t>
            </w:r>
          </w:p>
        </w:tc>
        <w:tc>
          <w:tcPr>
            <w:tcW w:w="3345" w:type="dxa"/>
            <w:vAlign w:val="center"/>
          </w:tcPr>
          <w:p w14:paraId="4E90910C">
            <w:pPr>
              <w:snapToGrid w:val="0"/>
              <w:spacing w:after="0" w:line="276" w:lineRule="auto"/>
              <w:jc w:val="center"/>
              <w:rPr>
                <w:rFonts w:hint="eastAsia" w:ascii="仿宋" w:hAnsi="仿宋" w:eastAsia="仿宋"/>
                <w:bCs/>
                <w:sz w:val="24"/>
              </w:rPr>
            </w:pPr>
            <w:r>
              <w:rPr>
                <w:rFonts w:hint="eastAsia" w:ascii="仿宋" w:hAnsi="仿宋" w:eastAsia="仿宋"/>
                <w:bCs/>
                <w:sz w:val="24"/>
              </w:rPr>
              <w:t>修水县蚕桑产业服务中心古市镇农业技术推广站</w:t>
            </w:r>
          </w:p>
        </w:tc>
        <w:tc>
          <w:tcPr>
            <w:tcW w:w="3010" w:type="dxa"/>
            <w:vAlign w:val="center"/>
          </w:tcPr>
          <w:p w14:paraId="1B195BAB">
            <w:pPr>
              <w:snapToGrid w:val="0"/>
              <w:spacing w:after="0" w:line="276" w:lineRule="auto"/>
              <w:jc w:val="center"/>
              <w:rPr>
                <w:rFonts w:hint="eastAsia" w:ascii="仿宋" w:hAnsi="仿宋" w:eastAsia="仿宋"/>
                <w:bCs/>
                <w:sz w:val="24"/>
              </w:rPr>
            </w:pPr>
            <w:r>
              <w:rPr>
                <w:rFonts w:hint="eastAsia" w:ascii="仿宋" w:hAnsi="仿宋" w:eastAsia="仿宋"/>
                <w:bCs/>
                <w:sz w:val="24"/>
              </w:rPr>
              <w:t>主要病害防治调查</w:t>
            </w:r>
          </w:p>
        </w:tc>
      </w:tr>
      <w:tr w14:paraId="0A85F7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 w:hRule="atLeast"/>
          <w:jc w:val="center"/>
        </w:trPr>
        <w:tc>
          <w:tcPr>
            <w:tcW w:w="1045" w:type="dxa"/>
            <w:vAlign w:val="center"/>
          </w:tcPr>
          <w:p w14:paraId="4A1C11E7">
            <w:pPr>
              <w:pStyle w:val="27"/>
              <w:widowControl w:val="0"/>
              <w:spacing w:line="276" w:lineRule="auto"/>
              <w:jc w:val="center"/>
              <w:rPr>
                <w:rFonts w:hint="eastAsia" w:ascii="仿宋" w:hAnsi="仿宋" w:eastAsia="仿宋"/>
                <w:bCs/>
                <w:sz w:val="24"/>
                <w:szCs w:val="24"/>
              </w:rPr>
            </w:pPr>
            <w:r>
              <w:rPr>
                <w:rFonts w:hint="eastAsia" w:ascii="仿宋" w:hAnsi="仿宋" w:eastAsia="仿宋"/>
                <w:bCs/>
                <w:sz w:val="24"/>
                <w:szCs w:val="24"/>
              </w:rPr>
              <w:t>梁涵</w:t>
            </w:r>
          </w:p>
        </w:tc>
        <w:tc>
          <w:tcPr>
            <w:tcW w:w="742" w:type="dxa"/>
            <w:vAlign w:val="center"/>
          </w:tcPr>
          <w:p w14:paraId="31E7A5A8">
            <w:pPr>
              <w:snapToGrid w:val="0"/>
              <w:spacing w:after="0" w:line="276" w:lineRule="auto"/>
              <w:jc w:val="center"/>
              <w:rPr>
                <w:rFonts w:hint="eastAsia" w:ascii="仿宋" w:hAnsi="仿宋" w:eastAsia="仿宋"/>
                <w:bCs/>
                <w:sz w:val="24"/>
              </w:rPr>
            </w:pPr>
            <w:r>
              <w:rPr>
                <w:rFonts w:hint="eastAsia" w:ascii="仿宋" w:hAnsi="仿宋" w:eastAsia="仿宋"/>
                <w:bCs/>
                <w:sz w:val="24"/>
              </w:rPr>
              <w:t>男</w:t>
            </w:r>
          </w:p>
        </w:tc>
        <w:tc>
          <w:tcPr>
            <w:tcW w:w="1442" w:type="dxa"/>
            <w:vAlign w:val="center"/>
          </w:tcPr>
          <w:p w14:paraId="1ECAF699">
            <w:pPr>
              <w:snapToGrid w:val="0"/>
              <w:spacing w:after="0" w:line="276" w:lineRule="auto"/>
              <w:jc w:val="center"/>
              <w:rPr>
                <w:rFonts w:hint="eastAsia" w:ascii="仿宋" w:hAnsi="仿宋" w:eastAsia="仿宋"/>
                <w:bCs/>
                <w:sz w:val="24"/>
              </w:rPr>
            </w:pPr>
            <w:r>
              <w:rPr>
                <w:rFonts w:hint="eastAsia" w:ascii="仿宋" w:hAnsi="仿宋" w:eastAsia="仿宋"/>
                <w:bCs/>
                <w:sz w:val="24"/>
              </w:rPr>
              <w:t>助理农艺师</w:t>
            </w:r>
          </w:p>
        </w:tc>
        <w:tc>
          <w:tcPr>
            <w:tcW w:w="3345" w:type="dxa"/>
            <w:vAlign w:val="center"/>
          </w:tcPr>
          <w:p w14:paraId="6B6319E1">
            <w:pPr>
              <w:snapToGrid w:val="0"/>
              <w:spacing w:after="0" w:line="276" w:lineRule="auto"/>
              <w:jc w:val="center"/>
              <w:rPr>
                <w:rFonts w:hint="eastAsia" w:ascii="仿宋" w:hAnsi="仿宋" w:eastAsia="仿宋"/>
                <w:bCs/>
                <w:sz w:val="24"/>
              </w:rPr>
            </w:pPr>
            <w:r>
              <w:rPr>
                <w:rFonts w:hint="eastAsia" w:ascii="仿宋" w:hAnsi="仿宋" w:eastAsia="仿宋"/>
                <w:bCs/>
                <w:sz w:val="24"/>
              </w:rPr>
              <w:t>修水县蚕桑产业服务中心溪口镇农业技术推广站</w:t>
            </w:r>
          </w:p>
        </w:tc>
        <w:tc>
          <w:tcPr>
            <w:tcW w:w="3010" w:type="dxa"/>
            <w:vAlign w:val="center"/>
          </w:tcPr>
          <w:p w14:paraId="53E4C5D2">
            <w:pPr>
              <w:snapToGrid w:val="0"/>
              <w:spacing w:after="0" w:line="276" w:lineRule="auto"/>
              <w:jc w:val="center"/>
              <w:rPr>
                <w:rFonts w:hint="eastAsia" w:ascii="仿宋" w:hAnsi="仿宋" w:eastAsia="仿宋"/>
                <w:bCs/>
                <w:sz w:val="24"/>
              </w:rPr>
            </w:pPr>
            <w:r>
              <w:rPr>
                <w:rFonts w:hint="eastAsia" w:ascii="仿宋" w:hAnsi="仿宋" w:eastAsia="仿宋"/>
                <w:bCs/>
                <w:sz w:val="24"/>
              </w:rPr>
              <w:t>主要虫害防治调查</w:t>
            </w:r>
          </w:p>
        </w:tc>
      </w:tr>
      <w:tr w14:paraId="54DA70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 w:hRule="atLeast"/>
          <w:jc w:val="center"/>
        </w:trPr>
        <w:tc>
          <w:tcPr>
            <w:tcW w:w="1045" w:type="dxa"/>
            <w:vAlign w:val="center"/>
          </w:tcPr>
          <w:p w14:paraId="0DA2307C">
            <w:pPr>
              <w:pStyle w:val="27"/>
              <w:widowControl w:val="0"/>
              <w:spacing w:line="276" w:lineRule="auto"/>
              <w:jc w:val="center"/>
              <w:rPr>
                <w:rFonts w:hint="eastAsia" w:ascii="仿宋" w:hAnsi="仿宋" w:eastAsia="仿宋"/>
                <w:bCs/>
                <w:sz w:val="24"/>
                <w:szCs w:val="24"/>
              </w:rPr>
            </w:pPr>
            <w:r>
              <w:rPr>
                <w:rFonts w:hint="eastAsia" w:ascii="仿宋" w:hAnsi="仿宋" w:eastAsia="仿宋"/>
                <w:bCs/>
                <w:sz w:val="24"/>
                <w:szCs w:val="24"/>
              </w:rPr>
              <w:t>罗伟明</w:t>
            </w:r>
          </w:p>
        </w:tc>
        <w:tc>
          <w:tcPr>
            <w:tcW w:w="742" w:type="dxa"/>
            <w:vAlign w:val="center"/>
          </w:tcPr>
          <w:p w14:paraId="222AB933">
            <w:pPr>
              <w:snapToGrid w:val="0"/>
              <w:spacing w:after="0" w:line="276" w:lineRule="auto"/>
              <w:jc w:val="center"/>
              <w:rPr>
                <w:rFonts w:hint="eastAsia" w:ascii="仿宋" w:hAnsi="仿宋" w:eastAsia="仿宋"/>
                <w:bCs/>
                <w:sz w:val="24"/>
              </w:rPr>
            </w:pPr>
            <w:r>
              <w:rPr>
                <w:rFonts w:hint="eastAsia" w:ascii="仿宋" w:hAnsi="仿宋" w:eastAsia="仿宋"/>
                <w:bCs/>
                <w:sz w:val="24"/>
              </w:rPr>
              <w:t>男</w:t>
            </w:r>
          </w:p>
        </w:tc>
        <w:tc>
          <w:tcPr>
            <w:tcW w:w="1442" w:type="dxa"/>
            <w:vAlign w:val="center"/>
          </w:tcPr>
          <w:p w14:paraId="5C0F9D30">
            <w:pPr>
              <w:snapToGrid w:val="0"/>
              <w:spacing w:after="0" w:line="276" w:lineRule="auto"/>
              <w:jc w:val="center"/>
              <w:rPr>
                <w:rFonts w:hint="eastAsia" w:ascii="仿宋" w:hAnsi="仿宋" w:eastAsia="仿宋"/>
                <w:bCs/>
                <w:sz w:val="24"/>
              </w:rPr>
            </w:pPr>
            <w:r>
              <w:rPr>
                <w:rFonts w:hint="eastAsia" w:ascii="仿宋" w:hAnsi="仿宋" w:eastAsia="仿宋"/>
                <w:bCs/>
                <w:sz w:val="24"/>
              </w:rPr>
              <w:t>助理农艺师</w:t>
            </w:r>
          </w:p>
        </w:tc>
        <w:tc>
          <w:tcPr>
            <w:tcW w:w="3345" w:type="dxa"/>
            <w:vAlign w:val="center"/>
          </w:tcPr>
          <w:p w14:paraId="5E0E1519">
            <w:pPr>
              <w:snapToGrid w:val="0"/>
              <w:spacing w:after="0" w:line="276" w:lineRule="auto"/>
              <w:jc w:val="center"/>
              <w:rPr>
                <w:rFonts w:hint="eastAsia" w:ascii="仿宋" w:hAnsi="仿宋" w:eastAsia="仿宋"/>
                <w:bCs/>
                <w:sz w:val="24"/>
              </w:rPr>
            </w:pPr>
            <w:r>
              <w:rPr>
                <w:rFonts w:hint="eastAsia" w:ascii="仿宋" w:hAnsi="仿宋" w:eastAsia="仿宋"/>
                <w:bCs/>
                <w:sz w:val="24"/>
              </w:rPr>
              <w:t>修水县蚕桑产业服务中心西港镇农业技术推广站</w:t>
            </w:r>
          </w:p>
        </w:tc>
        <w:tc>
          <w:tcPr>
            <w:tcW w:w="3010" w:type="dxa"/>
            <w:vAlign w:val="center"/>
          </w:tcPr>
          <w:p w14:paraId="5D4C580A">
            <w:pPr>
              <w:snapToGrid w:val="0"/>
              <w:spacing w:after="0" w:line="276" w:lineRule="auto"/>
              <w:jc w:val="center"/>
              <w:rPr>
                <w:rFonts w:hint="eastAsia" w:ascii="仿宋" w:hAnsi="仿宋" w:eastAsia="仿宋"/>
                <w:bCs/>
                <w:sz w:val="24"/>
              </w:rPr>
            </w:pPr>
            <w:r>
              <w:rPr>
                <w:rFonts w:hint="eastAsia" w:ascii="仿宋" w:hAnsi="仿宋" w:eastAsia="仿宋"/>
                <w:bCs/>
                <w:sz w:val="24"/>
              </w:rPr>
              <w:t>主要虫害防治调查</w:t>
            </w:r>
          </w:p>
        </w:tc>
      </w:tr>
      <w:tr w14:paraId="7F9274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 w:hRule="atLeast"/>
          <w:jc w:val="center"/>
        </w:trPr>
        <w:tc>
          <w:tcPr>
            <w:tcW w:w="1045" w:type="dxa"/>
            <w:vAlign w:val="center"/>
          </w:tcPr>
          <w:p w14:paraId="27AE4CDB">
            <w:pPr>
              <w:pStyle w:val="27"/>
              <w:widowControl w:val="0"/>
              <w:spacing w:line="276" w:lineRule="auto"/>
              <w:jc w:val="center"/>
              <w:rPr>
                <w:rFonts w:hint="eastAsia" w:ascii="仿宋" w:hAnsi="仿宋" w:eastAsia="仿宋"/>
                <w:bCs/>
                <w:sz w:val="24"/>
                <w:szCs w:val="24"/>
              </w:rPr>
            </w:pPr>
            <w:r>
              <w:rPr>
                <w:rFonts w:hint="eastAsia" w:ascii="仿宋" w:hAnsi="仿宋" w:eastAsia="仿宋"/>
                <w:bCs/>
                <w:sz w:val="24"/>
                <w:szCs w:val="24"/>
              </w:rPr>
              <w:t>张一奇</w:t>
            </w:r>
          </w:p>
        </w:tc>
        <w:tc>
          <w:tcPr>
            <w:tcW w:w="742" w:type="dxa"/>
            <w:vAlign w:val="center"/>
          </w:tcPr>
          <w:p w14:paraId="64C72C92">
            <w:pPr>
              <w:snapToGrid w:val="0"/>
              <w:spacing w:after="0" w:line="276" w:lineRule="auto"/>
              <w:jc w:val="center"/>
              <w:rPr>
                <w:rFonts w:hint="eastAsia" w:ascii="仿宋" w:hAnsi="仿宋" w:eastAsia="仿宋"/>
                <w:bCs/>
                <w:sz w:val="24"/>
              </w:rPr>
            </w:pPr>
            <w:r>
              <w:rPr>
                <w:rFonts w:hint="eastAsia" w:ascii="仿宋" w:hAnsi="仿宋" w:eastAsia="仿宋"/>
                <w:bCs/>
                <w:sz w:val="24"/>
              </w:rPr>
              <w:t>男</w:t>
            </w:r>
          </w:p>
        </w:tc>
        <w:tc>
          <w:tcPr>
            <w:tcW w:w="1442" w:type="dxa"/>
            <w:vAlign w:val="center"/>
          </w:tcPr>
          <w:p w14:paraId="4805D406">
            <w:pPr>
              <w:snapToGrid w:val="0"/>
              <w:spacing w:after="0" w:line="276" w:lineRule="auto"/>
              <w:jc w:val="center"/>
              <w:rPr>
                <w:rFonts w:hint="eastAsia" w:ascii="仿宋" w:hAnsi="仿宋" w:eastAsia="仿宋"/>
                <w:bCs/>
                <w:sz w:val="24"/>
              </w:rPr>
            </w:pPr>
            <w:r>
              <w:rPr>
                <w:rFonts w:hint="eastAsia" w:ascii="仿宋" w:hAnsi="仿宋" w:eastAsia="仿宋"/>
                <w:bCs/>
                <w:sz w:val="24"/>
              </w:rPr>
              <w:t>助理农艺师</w:t>
            </w:r>
          </w:p>
        </w:tc>
        <w:tc>
          <w:tcPr>
            <w:tcW w:w="3345" w:type="dxa"/>
            <w:vAlign w:val="center"/>
          </w:tcPr>
          <w:p w14:paraId="22A3D51B">
            <w:pPr>
              <w:snapToGrid w:val="0"/>
              <w:spacing w:after="0" w:line="276" w:lineRule="auto"/>
              <w:jc w:val="center"/>
              <w:rPr>
                <w:rFonts w:hint="eastAsia" w:ascii="仿宋" w:hAnsi="仿宋" w:eastAsia="仿宋"/>
                <w:bCs/>
                <w:sz w:val="24"/>
              </w:rPr>
            </w:pPr>
            <w:r>
              <w:rPr>
                <w:rFonts w:hint="eastAsia" w:ascii="仿宋" w:hAnsi="仿宋" w:eastAsia="仿宋"/>
                <w:bCs/>
                <w:sz w:val="24"/>
              </w:rPr>
              <w:t>修水县蚕桑产业服务中心马坳镇农业技术推广站</w:t>
            </w:r>
          </w:p>
        </w:tc>
        <w:tc>
          <w:tcPr>
            <w:tcW w:w="3010" w:type="dxa"/>
            <w:vAlign w:val="center"/>
          </w:tcPr>
          <w:p w14:paraId="02332802">
            <w:pPr>
              <w:snapToGrid w:val="0"/>
              <w:spacing w:after="0" w:line="276" w:lineRule="auto"/>
              <w:jc w:val="center"/>
              <w:rPr>
                <w:rFonts w:hint="eastAsia" w:ascii="仿宋" w:hAnsi="仿宋" w:eastAsia="仿宋"/>
                <w:bCs/>
                <w:sz w:val="24"/>
              </w:rPr>
            </w:pPr>
            <w:r>
              <w:rPr>
                <w:rFonts w:hint="eastAsia" w:ascii="仿宋" w:hAnsi="仿宋" w:eastAsia="仿宋"/>
                <w:bCs/>
                <w:sz w:val="24"/>
              </w:rPr>
              <w:t>主要病害防治调查</w:t>
            </w:r>
          </w:p>
        </w:tc>
      </w:tr>
    </w:tbl>
    <w:p w14:paraId="497332D2">
      <w:pPr>
        <w:widowControl/>
        <w:jc w:val="center"/>
        <w:textAlignment w:val="baseline"/>
        <w:rPr>
          <w:rFonts w:eastAsia="仿宋_GB2312"/>
          <w:kern w:val="0"/>
          <w:sz w:val="24"/>
        </w:rPr>
      </w:pPr>
    </w:p>
    <w:p w14:paraId="491C6F12">
      <w:pPr>
        <w:spacing w:after="0" w:line="312" w:lineRule="auto"/>
        <w:rPr>
          <w:rFonts w:eastAsia="黑体"/>
          <w:sz w:val="32"/>
          <w:szCs w:val="32"/>
        </w:rPr>
      </w:pPr>
      <w:r>
        <w:rPr>
          <w:rFonts w:eastAsia="黑体"/>
          <w:sz w:val="32"/>
          <w:szCs w:val="32"/>
        </w:rPr>
        <w:t>二、</w:t>
      </w:r>
      <w:r>
        <w:rPr>
          <w:rFonts w:hint="eastAsia" w:eastAsia="黑体"/>
          <w:sz w:val="32"/>
          <w:szCs w:val="32"/>
        </w:rPr>
        <w:t>制定（修订）标准的必要性和意义</w:t>
      </w:r>
    </w:p>
    <w:p w14:paraId="62DDD57C">
      <w:pPr>
        <w:widowControl/>
        <w:spacing w:after="0" w:line="312" w:lineRule="auto"/>
        <w:ind w:firstLine="560" w:firstLineChars="200"/>
        <w:rPr>
          <w:rFonts w:hint="eastAsia" w:ascii="仿宋" w:hAnsi="仿宋" w:eastAsia="仿宋"/>
          <w:bCs/>
          <w:color w:val="000000"/>
          <w:sz w:val="28"/>
          <w:szCs w:val="28"/>
        </w:rPr>
      </w:pPr>
      <w:r>
        <w:rPr>
          <w:rFonts w:ascii="仿宋" w:hAnsi="仿宋" w:eastAsia="仿宋"/>
          <w:bCs/>
          <w:color w:val="000000"/>
          <w:sz w:val="28"/>
          <w:szCs w:val="28"/>
        </w:rPr>
        <w:t>蚕桑产业历来是</w:t>
      </w:r>
      <w:r>
        <w:rPr>
          <w:rFonts w:hint="eastAsia" w:ascii="仿宋" w:hAnsi="仿宋" w:eastAsia="仿宋"/>
          <w:bCs/>
          <w:color w:val="000000"/>
          <w:sz w:val="28"/>
          <w:szCs w:val="28"/>
        </w:rPr>
        <w:t>江西</w:t>
      </w:r>
      <w:r>
        <w:rPr>
          <w:rFonts w:ascii="仿宋" w:hAnsi="仿宋" w:eastAsia="仿宋"/>
          <w:bCs/>
          <w:color w:val="000000"/>
          <w:sz w:val="28"/>
          <w:szCs w:val="28"/>
        </w:rPr>
        <w:t>传统优势特色产业。近年来，随着国际经济格局变化和我国市场经济转型发展，蚕桑也在转型升级中实现生态型多元化高效益发展，其中，果桑是蚕桑多元化开发利用的新兴产业。果桑以采摘优质桑椹为主，兼顾桑蚕饲养。</w:t>
      </w:r>
      <w:r>
        <w:rPr>
          <w:rFonts w:hint="eastAsia" w:ascii="仿宋" w:hAnsi="仿宋" w:eastAsia="仿宋"/>
          <w:bCs/>
          <w:color w:val="000000"/>
          <w:sz w:val="28"/>
          <w:szCs w:val="28"/>
        </w:rPr>
        <w:t>桑椹是集营养、保健、药用于一体的优质小浆果，属“药食同源”水果，具有滋补心、肝、胃及养血祛风之功效。随着人们生活水平的提高和消费观念的转变，桑椹越来越受到人们的青睐</w:t>
      </w:r>
      <w:r>
        <w:rPr>
          <w:rFonts w:ascii="仿宋" w:hAnsi="仿宋" w:eastAsia="仿宋"/>
          <w:bCs/>
          <w:color w:val="000000"/>
          <w:sz w:val="28"/>
          <w:szCs w:val="28"/>
        </w:rPr>
        <w:t>，市场前景巨大</w:t>
      </w:r>
      <w:r>
        <w:rPr>
          <w:rFonts w:hint="eastAsia" w:ascii="仿宋" w:hAnsi="仿宋" w:eastAsia="仿宋"/>
          <w:bCs/>
          <w:color w:val="000000"/>
          <w:sz w:val="28"/>
          <w:szCs w:val="28"/>
        </w:rPr>
        <w:t>。同时，在农业供给侧结构性改革和农业产业精准扶贫背景下，果桑种植及观光采摘在弥补春季采摘水果不足、丰富人民生活、增加农民收入等方面发挥重要作用。然而，果桑病虫害的发生严重制约了果桑产业的发展。近年来我省果桑栽培面积逐渐扩大，病虫害的发生也不断蔓延，轻者造成桑椹产量降低和品质低劣，重者使桑椹脱落甚至绝产，更有甚者整个植株枯死。为了能够有效</w:t>
      </w:r>
      <w:bookmarkStart w:id="4" w:name="_GoBack"/>
      <w:r>
        <w:rPr>
          <w:rFonts w:hint="eastAsia" w:ascii="仿宋" w:hAnsi="仿宋" w:eastAsia="仿宋"/>
          <w:bCs/>
          <w:color w:val="000000"/>
          <w:sz w:val="28"/>
          <w:szCs w:val="28"/>
        </w:rPr>
        <w:t>的</w:t>
      </w:r>
      <w:bookmarkEnd w:id="4"/>
      <w:r>
        <w:rPr>
          <w:rFonts w:hint="eastAsia" w:ascii="仿宋" w:hAnsi="仿宋" w:eastAsia="仿宋"/>
          <w:bCs/>
          <w:color w:val="000000"/>
          <w:sz w:val="28"/>
          <w:szCs w:val="28"/>
        </w:rPr>
        <w:t>预防和控制果桑主要病虫害的发生，提高果桑经济效益，增加蚕农收入，促进蚕桑产业可持续发展，</w:t>
      </w:r>
      <w:r>
        <w:rPr>
          <w:rFonts w:ascii="仿宋" w:hAnsi="仿宋" w:eastAsia="仿宋"/>
          <w:bCs/>
          <w:color w:val="000000"/>
          <w:sz w:val="28"/>
          <w:szCs w:val="28"/>
        </w:rPr>
        <w:t>制定《</w:t>
      </w:r>
      <w:r>
        <w:rPr>
          <w:rFonts w:hint="eastAsia" w:ascii="仿宋" w:hAnsi="仿宋" w:eastAsia="仿宋"/>
          <w:bCs/>
          <w:color w:val="000000"/>
          <w:sz w:val="28"/>
          <w:szCs w:val="28"/>
        </w:rPr>
        <w:t>果桑主要病虫害防控</w:t>
      </w:r>
      <w:r>
        <w:rPr>
          <w:rFonts w:ascii="仿宋" w:hAnsi="仿宋" w:eastAsia="仿宋"/>
          <w:bCs/>
          <w:color w:val="000000"/>
          <w:sz w:val="28"/>
          <w:szCs w:val="28"/>
        </w:rPr>
        <w:t>技术规程》十分必要和紧迫。</w:t>
      </w:r>
    </w:p>
    <w:p w14:paraId="436BE47C">
      <w:pPr>
        <w:widowControl/>
        <w:spacing w:after="0" w:line="312" w:lineRule="auto"/>
        <w:ind w:firstLine="560" w:firstLineChars="200"/>
        <w:rPr>
          <w:rFonts w:hint="eastAsia" w:ascii="仿宋" w:hAnsi="仿宋" w:eastAsia="仿宋"/>
          <w:bCs/>
          <w:color w:val="000000"/>
          <w:sz w:val="28"/>
          <w:szCs w:val="28"/>
        </w:rPr>
      </w:pPr>
      <w:r>
        <w:rPr>
          <w:rFonts w:hint="eastAsia" w:ascii="仿宋" w:hAnsi="仿宋" w:eastAsia="仿宋"/>
          <w:bCs/>
          <w:color w:val="000000"/>
          <w:sz w:val="28"/>
          <w:szCs w:val="28"/>
        </w:rPr>
        <w:t>目前，国内外关于果桑病虫害的标准主要是关于桑椹菌核病的防控规程，而未有专门针对果桑主要病虫害防控的技术规程。本标准填补了现有标准体系的空白，集成应用了农业防治、物理防治、化学防治和生物防治等技术措施，能够有效提高果桑的产量和品质，实现果桑产品健康、环保的目标；且该规程在江西省具有较强的适应性、科学性和可操作性，对于促进我省果桑病虫害规范化防控和产业健康发展、提升果桑种植户受益、推动乡村振兴具有积极意义。</w:t>
      </w:r>
    </w:p>
    <w:p w14:paraId="253C2285">
      <w:pPr>
        <w:spacing w:line="560" w:lineRule="exact"/>
        <w:ind w:firstLine="643" w:firstLineChars="200"/>
        <w:jc w:val="left"/>
        <w:rPr>
          <w:rFonts w:hint="eastAsia" w:ascii="黑体" w:hAnsi="黑体" w:eastAsia="黑体"/>
          <w:b/>
          <w:sz w:val="32"/>
          <w:szCs w:val="32"/>
        </w:rPr>
      </w:pPr>
      <w:r>
        <w:rPr>
          <w:rFonts w:hint="eastAsia" w:ascii="黑体" w:hAnsi="黑体" w:eastAsia="黑体"/>
          <w:b/>
          <w:sz w:val="32"/>
          <w:szCs w:val="32"/>
        </w:rPr>
        <w:t>三、主要起草过程</w:t>
      </w:r>
    </w:p>
    <w:p w14:paraId="0F0515CC">
      <w:pPr>
        <w:spacing w:after="0" w:line="312" w:lineRule="auto"/>
        <w:ind w:firstLine="562" w:firstLineChars="200"/>
        <w:rPr>
          <w:rFonts w:hint="eastAsia" w:ascii="楷体" w:hAnsi="楷体" w:eastAsia="楷体"/>
          <w:b/>
          <w:bCs/>
          <w:color w:val="000000"/>
          <w:sz w:val="28"/>
          <w:szCs w:val="28"/>
        </w:rPr>
      </w:pPr>
      <w:r>
        <w:rPr>
          <w:rFonts w:hint="eastAsia" w:ascii="楷体" w:hAnsi="楷体" w:eastAsia="楷体"/>
          <w:b/>
          <w:bCs/>
          <w:color w:val="000000"/>
          <w:sz w:val="28"/>
          <w:szCs w:val="28"/>
        </w:rPr>
        <w:t>（一）成立标准起草小组</w:t>
      </w:r>
    </w:p>
    <w:p w14:paraId="5121DF8B">
      <w:pPr>
        <w:spacing w:after="0" w:line="312" w:lineRule="auto"/>
        <w:ind w:firstLine="560" w:firstLineChars="200"/>
        <w:rPr>
          <w:rFonts w:hint="eastAsia" w:ascii="仿宋" w:hAnsi="仿宋" w:eastAsia="仿宋"/>
          <w:sz w:val="28"/>
          <w:szCs w:val="28"/>
        </w:rPr>
      </w:pPr>
      <w:r>
        <w:rPr>
          <w:rFonts w:hint="eastAsia" w:ascii="仿宋" w:hAnsi="仿宋" w:eastAsia="仿宋"/>
          <w:sz w:val="28"/>
          <w:szCs w:val="28"/>
        </w:rPr>
        <w:t>江西农业大学拟申报《果桑主要病虫害防控技术规程》江西省地方标准时，立即由主要起草人牵头组织成立起草小组，研讨标准编制前期调研、试验示范、数据采集、资料收集与补充、标准相关要求与进度以及人员分工等，确保标准编制过程中各个环节顺利实施。</w:t>
      </w:r>
    </w:p>
    <w:p w14:paraId="1B89A653">
      <w:pPr>
        <w:spacing w:after="0" w:line="312" w:lineRule="auto"/>
        <w:ind w:firstLine="562" w:firstLineChars="200"/>
        <w:rPr>
          <w:rFonts w:hint="eastAsia" w:ascii="楷体" w:hAnsi="楷体" w:eastAsia="楷体"/>
          <w:b/>
          <w:sz w:val="28"/>
          <w:szCs w:val="28"/>
        </w:rPr>
      </w:pPr>
      <w:r>
        <w:rPr>
          <w:rFonts w:hint="eastAsia" w:ascii="楷体" w:hAnsi="楷体" w:eastAsia="楷体"/>
          <w:b/>
          <w:sz w:val="28"/>
          <w:szCs w:val="28"/>
        </w:rPr>
        <w:t>（二）数据采集和材料收集</w:t>
      </w:r>
    </w:p>
    <w:p w14:paraId="0ABE74EE">
      <w:pPr>
        <w:spacing w:after="0" w:line="312" w:lineRule="auto"/>
        <w:ind w:firstLine="560" w:firstLineChars="200"/>
        <w:rPr>
          <w:rFonts w:hint="eastAsia" w:ascii="仿宋" w:hAnsi="仿宋" w:eastAsia="仿宋"/>
          <w:sz w:val="28"/>
          <w:szCs w:val="28"/>
        </w:rPr>
      </w:pPr>
      <w:r>
        <w:rPr>
          <w:rFonts w:hint="eastAsia" w:ascii="仿宋" w:hAnsi="仿宋" w:eastAsia="仿宋"/>
          <w:sz w:val="28"/>
          <w:szCs w:val="28"/>
        </w:rPr>
        <w:t>本规范</w:t>
      </w:r>
      <w:r>
        <w:rPr>
          <w:rFonts w:ascii="仿宋" w:hAnsi="仿宋" w:eastAsia="仿宋"/>
          <w:sz w:val="28"/>
          <w:szCs w:val="28"/>
        </w:rPr>
        <w:t>起草小组成员先后多次在</w:t>
      </w:r>
      <w:r>
        <w:rPr>
          <w:rFonts w:hint="eastAsia" w:ascii="仿宋" w:hAnsi="仿宋" w:eastAsia="仿宋"/>
          <w:sz w:val="28"/>
          <w:szCs w:val="28"/>
        </w:rPr>
        <w:t>修水、贵溪、乐安等果桑产区与果桑种植大户以及技术人员进行了交流，针对果桑近几年出现的病虫害防治难、防效差等问题，进行果桑病虫害防控技术的探索。通过开展果桑菌核病、桑天牛等主要病虫害的田间调查和防效试验，对试验数据和技术进行总结和归纳，并进行应用。通过技术集成和总结优化，制定了《果桑主要病虫害防控技术规程》。</w:t>
      </w:r>
    </w:p>
    <w:p w14:paraId="47987978">
      <w:pPr>
        <w:spacing w:after="0" w:line="312" w:lineRule="auto"/>
        <w:ind w:firstLine="562" w:firstLineChars="200"/>
        <w:rPr>
          <w:rFonts w:hint="eastAsia" w:ascii="楷体" w:hAnsi="楷体" w:eastAsia="楷体"/>
          <w:b/>
          <w:sz w:val="28"/>
          <w:szCs w:val="28"/>
        </w:rPr>
      </w:pPr>
      <w:r>
        <w:rPr>
          <w:rFonts w:hint="eastAsia" w:ascii="楷体" w:hAnsi="楷体" w:eastAsia="楷体"/>
          <w:b/>
          <w:sz w:val="28"/>
          <w:szCs w:val="28"/>
        </w:rPr>
        <w:t>（三）起草标准征求意见</w:t>
      </w:r>
    </w:p>
    <w:p w14:paraId="3F78D479">
      <w:pPr>
        <w:spacing w:after="0" w:line="312" w:lineRule="auto"/>
        <w:ind w:firstLine="560" w:firstLineChars="200"/>
        <w:rPr>
          <w:rFonts w:hint="eastAsia" w:ascii="仿宋" w:hAnsi="仿宋" w:eastAsia="仿宋"/>
          <w:sz w:val="28"/>
          <w:szCs w:val="28"/>
        </w:rPr>
      </w:pPr>
      <w:r>
        <w:rPr>
          <w:rFonts w:hint="eastAsia" w:ascii="仿宋" w:hAnsi="仿宋" w:eastAsia="仿宋"/>
          <w:sz w:val="28"/>
          <w:szCs w:val="28"/>
        </w:rPr>
        <w:t>根据整理的调查研究资料以及相关试验观察生产数据结果，结合相关文献资料，以及标准立项评估会上专家的意见建议，形成了《果桑主要病虫害防控技术规程》初稿。进一步就初稿内容征询了省内相关领域专家及应用单位意见和建议，并再次对各条款内容进行了多次研究和讨论，修改后形成了本标准征求意见稿。</w:t>
      </w:r>
    </w:p>
    <w:p w14:paraId="3E60F1E5">
      <w:pPr>
        <w:spacing w:line="560" w:lineRule="exact"/>
        <w:ind w:firstLine="640" w:firstLineChars="200"/>
        <w:rPr>
          <w:rFonts w:hint="eastAsia" w:ascii="黑体" w:hAnsi="黑体" w:eastAsia="黑体"/>
          <w:sz w:val="32"/>
          <w:szCs w:val="32"/>
        </w:rPr>
      </w:pPr>
      <w:r>
        <w:rPr>
          <w:rFonts w:hint="eastAsia" w:ascii="黑体" w:hAnsi="黑体" w:eastAsia="黑体"/>
          <w:sz w:val="32"/>
          <w:szCs w:val="32"/>
        </w:rPr>
        <w:t>四、</w:t>
      </w:r>
      <w:r>
        <w:rPr>
          <w:rFonts w:ascii="黑体" w:hAnsi="黑体" w:eastAsia="黑体"/>
          <w:sz w:val="32"/>
          <w:szCs w:val="32"/>
        </w:rPr>
        <w:t>制定标准的原则和依据，与现行法律、法规、标准的关系</w:t>
      </w:r>
    </w:p>
    <w:p w14:paraId="282CBC61">
      <w:pPr>
        <w:spacing w:after="0" w:line="312" w:lineRule="auto"/>
        <w:ind w:firstLine="562" w:firstLineChars="200"/>
        <w:rPr>
          <w:rFonts w:hint="eastAsia" w:ascii="楷体" w:hAnsi="楷体" w:eastAsia="楷体"/>
          <w:b/>
          <w:sz w:val="28"/>
          <w:szCs w:val="28"/>
        </w:rPr>
      </w:pPr>
      <w:r>
        <w:rPr>
          <w:rFonts w:hint="eastAsia" w:ascii="楷体" w:hAnsi="楷体" w:eastAsia="楷体"/>
          <w:b/>
          <w:sz w:val="28"/>
          <w:szCs w:val="28"/>
        </w:rPr>
        <w:t>（一）原则</w:t>
      </w:r>
    </w:p>
    <w:p w14:paraId="57439513">
      <w:pPr>
        <w:spacing w:after="0" w:line="312" w:lineRule="auto"/>
        <w:ind w:firstLine="560" w:firstLineChars="200"/>
        <w:rPr>
          <w:rFonts w:hint="eastAsia" w:ascii="仿宋" w:hAnsi="仿宋" w:eastAsia="仿宋"/>
          <w:sz w:val="28"/>
          <w:szCs w:val="28"/>
        </w:rPr>
      </w:pPr>
      <w:r>
        <w:rPr>
          <w:rFonts w:ascii="仿宋" w:hAnsi="仿宋" w:eastAsia="仿宋"/>
          <w:sz w:val="28"/>
          <w:szCs w:val="28"/>
        </w:rPr>
        <w:t>本标准是在进行了</w:t>
      </w:r>
      <w:r>
        <w:rPr>
          <w:rFonts w:hint="eastAsia" w:ascii="仿宋" w:hAnsi="仿宋" w:eastAsia="仿宋"/>
          <w:sz w:val="28"/>
          <w:szCs w:val="28"/>
        </w:rPr>
        <w:t>相关</w:t>
      </w:r>
      <w:r>
        <w:rPr>
          <w:rFonts w:ascii="仿宋" w:hAnsi="仿宋" w:eastAsia="仿宋"/>
          <w:sz w:val="28"/>
          <w:szCs w:val="28"/>
        </w:rPr>
        <w:t>试验，查阅了大量相关文献，广泛收集和总结</w:t>
      </w:r>
      <w:r>
        <w:rPr>
          <w:rFonts w:hint="eastAsia" w:ascii="仿宋" w:hAnsi="仿宋" w:eastAsia="仿宋"/>
          <w:sz w:val="28"/>
          <w:szCs w:val="28"/>
        </w:rPr>
        <w:t>果桑主要病虫害防控技术的</w:t>
      </w:r>
      <w:r>
        <w:rPr>
          <w:rFonts w:ascii="仿宋" w:hAnsi="仿宋" w:eastAsia="仿宋"/>
          <w:sz w:val="28"/>
          <w:szCs w:val="28"/>
        </w:rPr>
        <w:t>基础上编制而成。本标准编制遵循了标准的可操作性</w:t>
      </w:r>
      <w:r>
        <w:rPr>
          <w:rFonts w:hint="eastAsia" w:ascii="仿宋" w:hAnsi="仿宋" w:eastAsia="仿宋"/>
          <w:sz w:val="28"/>
          <w:szCs w:val="28"/>
        </w:rPr>
        <w:t>，</w:t>
      </w:r>
      <w:r>
        <w:rPr>
          <w:rFonts w:ascii="仿宋" w:hAnsi="仿宋" w:eastAsia="仿宋"/>
          <w:sz w:val="28"/>
          <w:szCs w:val="28"/>
        </w:rPr>
        <w:t>编写格式符合GB/T 1.1-2020标准化工作导则 第1部分：标准的结构和编写。</w:t>
      </w:r>
    </w:p>
    <w:p w14:paraId="56BAF0D0">
      <w:pPr>
        <w:spacing w:after="0" w:line="312" w:lineRule="auto"/>
        <w:ind w:firstLine="562" w:firstLineChars="200"/>
        <w:rPr>
          <w:rFonts w:hint="eastAsia" w:ascii="楷体" w:hAnsi="楷体" w:eastAsia="楷体"/>
          <w:b/>
          <w:sz w:val="28"/>
          <w:szCs w:val="28"/>
        </w:rPr>
      </w:pPr>
      <w:r>
        <w:rPr>
          <w:rFonts w:hint="eastAsia" w:ascii="楷体" w:hAnsi="楷体" w:eastAsia="楷体"/>
          <w:b/>
          <w:sz w:val="28"/>
          <w:szCs w:val="28"/>
        </w:rPr>
        <w:t>（二）依据</w:t>
      </w:r>
    </w:p>
    <w:p w14:paraId="4121C21F">
      <w:pPr>
        <w:pStyle w:val="3"/>
        <w:spacing w:line="312" w:lineRule="auto"/>
        <w:ind w:firstLine="560" w:firstLineChars="200"/>
        <w:rPr>
          <w:rFonts w:hint="eastAsia" w:ascii="仿宋" w:hAnsi="仿宋" w:eastAsia="仿宋" w:cs="Times New Roman"/>
          <w:kern w:val="2"/>
          <w:sz w:val="28"/>
          <w:szCs w:val="28"/>
          <w:lang w:val="en-US" w:bidi="ar-SA"/>
        </w:rPr>
      </w:pPr>
      <w:r>
        <w:rPr>
          <w:rFonts w:ascii="仿宋" w:hAnsi="仿宋" w:eastAsia="仿宋" w:cs="Times New Roman"/>
          <w:kern w:val="2"/>
          <w:sz w:val="28"/>
          <w:szCs w:val="28"/>
          <w:lang w:val="en-US" w:bidi="ar-SA"/>
        </w:rPr>
        <w:t>GB 2763</w:t>
      </w:r>
      <w:r>
        <w:rPr>
          <w:rFonts w:hint="eastAsia" w:ascii="仿宋" w:hAnsi="仿宋" w:eastAsia="仿宋" w:cs="Times New Roman"/>
          <w:kern w:val="2"/>
          <w:sz w:val="28"/>
          <w:szCs w:val="28"/>
          <w:lang w:val="en-US" w:bidi="ar-SA"/>
        </w:rPr>
        <w:t xml:space="preserve">  </w:t>
      </w:r>
      <w:r>
        <w:rPr>
          <w:rFonts w:ascii="仿宋" w:hAnsi="仿宋" w:eastAsia="仿宋" w:cs="Times New Roman"/>
          <w:kern w:val="2"/>
          <w:sz w:val="28"/>
          <w:szCs w:val="28"/>
          <w:lang w:val="en-US" w:bidi="ar-SA"/>
        </w:rPr>
        <w:t>食品安全国家标准 食品中农药最大残留限量</w:t>
      </w:r>
    </w:p>
    <w:p w14:paraId="4720FBF3">
      <w:pPr>
        <w:pStyle w:val="3"/>
        <w:spacing w:line="312" w:lineRule="auto"/>
        <w:ind w:firstLine="560" w:firstLineChars="200"/>
        <w:rPr>
          <w:rFonts w:hint="eastAsia" w:ascii="仿宋" w:hAnsi="仿宋" w:eastAsia="仿宋" w:cs="Times New Roman"/>
          <w:kern w:val="2"/>
          <w:sz w:val="28"/>
          <w:szCs w:val="28"/>
          <w:lang w:val="en-US" w:bidi="ar-SA"/>
        </w:rPr>
      </w:pPr>
      <w:r>
        <w:rPr>
          <w:rFonts w:ascii="仿宋" w:hAnsi="仿宋" w:eastAsia="仿宋" w:cs="Times New Roman"/>
          <w:kern w:val="2"/>
          <w:sz w:val="28"/>
          <w:szCs w:val="28"/>
          <w:lang w:val="en-US" w:bidi="ar-SA"/>
        </w:rPr>
        <w:t xml:space="preserve">GB/T 29572 </w:t>
      </w:r>
      <w:r>
        <w:rPr>
          <w:rFonts w:hint="eastAsia" w:ascii="仿宋" w:hAnsi="仿宋" w:eastAsia="仿宋" w:cs="Times New Roman"/>
          <w:kern w:val="2"/>
          <w:sz w:val="28"/>
          <w:szCs w:val="28"/>
          <w:lang w:val="en-US" w:bidi="ar-SA"/>
        </w:rPr>
        <w:t xml:space="preserve"> </w:t>
      </w:r>
      <w:r>
        <w:rPr>
          <w:rFonts w:ascii="仿宋" w:hAnsi="仿宋" w:eastAsia="仿宋" w:cs="Times New Roman"/>
          <w:kern w:val="2"/>
          <w:sz w:val="28"/>
          <w:szCs w:val="28"/>
          <w:lang w:val="en-US" w:bidi="ar-SA"/>
        </w:rPr>
        <w:t>桑椹（桑果）</w:t>
      </w:r>
    </w:p>
    <w:p w14:paraId="576E6734">
      <w:pPr>
        <w:pStyle w:val="3"/>
        <w:spacing w:line="312" w:lineRule="auto"/>
        <w:ind w:firstLine="560" w:firstLineChars="200"/>
        <w:rPr>
          <w:rFonts w:hint="eastAsia" w:ascii="仿宋" w:hAnsi="仿宋" w:eastAsia="仿宋" w:cs="Times New Roman"/>
          <w:kern w:val="2"/>
          <w:sz w:val="28"/>
          <w:szCs w:val="28"/>
          <w:lang w:val="en-US" w:bidi="ar-SA"/>
        </w:rPr>
      </w:pPr>
      <w:r>
        <w:rPr>
          <w:rFonts w:ascii="仿宋" w:hAnsi="仿宋" w:eastAsia="仿宋" w:cs="Times New Roman"/>
          <w:kern w:val="2"/>
          <w:sz w:val="28"/>
          <w:szCs w:val="28"/>
          <w:lang w:val="en-US" w:bidi="ar-SA"/>
        </w:rPr>
        <w:t xml:space="preserve">LY/T 2755 </w:t>
      </w:r>
      <w:r>
        <w:rPr>
          <w:rFonts w:hint="eastAsia" w:ascii="仿宋" w:hAnsi="仿宋" w:eastAsia="仿宋" w:cs="Times New Roman"/>
          <w:kern w:val="2"/>
          <w:sz w:val="28"/>
          <w:szCs w:val="28"/>
          <w:lang w:val="en-US" w:bidi="ar-SA"/>
        </w:rPr>
        <w:t xml:space="preserve"> </w:t>
      </w:r>
      <w:r>
        <w:rPr>
          <w:rFonts w:ascii="仿宋" w:hAnsi="仿宋" w:eastAsia="仿宋" w:cs="Times New Roman"/>
          <w:kern w:val="2"/>
          <w:sz w:val="28"/>
          <w:szCs w:val="28"/>
          <w:lang w:val="en-US" w:bidi="ar-SA"/>
        </w:rPr>
        <w:t>果桑栽培技术规程</w:t>
      </w:r>
    </w:p>
    <w:p w14:paraId="417A0C22">
      <w:pPr>
        <w:pStyle w:val="3"/>
        <w:spacing w:line="312" w:lineRule="auto"/>
        <w:ind w:firstLine="560" w:firstLineChars="200"/>
        <w:rPr>
          <w:rFonts w:hint="eastAsia" w:ascii="仿宋" w:hAnsi="仿宋" w:eastAsia="仿宋" w:cs="Times New Roman"/>
          <w:kern w:val="2"/>
          <w:sz w:val="28"/>
          <w:szCs w:val="28"/>
          <w:lang w:val="en-US" w:bidi="ar-SA"/>
        </w:rPr>
      </w:pPr>
      <w:r>
        <w:rPr>
          <w:rFonts w:ascii="仿宋" w:hAnsi="仿宋" w:eastAsia="仿宋" w:cs="Times New Roman"/>
          <w:kern w:val="2"/>
          <w:sz w:val="28"/>
          <w:szCs w:val="28"/>
          <w:lang w:val="en-US" w:bidi="ar-SA"/>
        </w:rPr>
        <w:t xml:space="preserve">NY/T 496 </w:t>
      </w:r>
      <w:r>
        <w:rPr>
          <w:rFonts w:hint="eastAsia" w:ascii="仿宋" w:hAnsi="仿宋" w:eastAsia="仿宋" w:cs="Times New Roman"/>
          <w:kern w:val="2"/>
          <w:sz w:val="28"/>
          <w:szCs w:val="28"/>
          <w:lang w:val="en-US" w:bidi="ar-SA"/>
        </w:rPr>
        <w:t xml:space="preserve"> </w:t>
      </w:r>
      <w:r>
        <w:rPr>
          <w:rFonts w:ascii="仿宋" w:hAnsi="仿宋" w:eastAsia="仿宋" w:cs="Times New Roman"/>
          <w:kern w:val="2"/>
          <w:sz w:val="28"/>
          <w:szCs w:val="28"/>
          <w:lang w:val="en-US" w:bidi="ar-SA"/>
        </w:rPr>
        <w:t>肥料合理使用准则 通则</w:t>
      </w:r>
    </w:p>
    <w:p w14:paraId="023050D1">
      <w:pPr>
        <w:pStyle w:val="3"/>
        <w:spacing w:line="312" w:lineRule="auto"/>
        <w:ind w:firstLine="560" w:firstLineChars="200"/>
        <w:rPr>
          <w:rFonts w:hint="eastAsia" w:ascii="仿宋" w:hAnsi="仿宋" w:eastAsia="仿宋" w:cs="Times New Roman"/>
          <w:kern w:val="2"/>
          <w:sz w:val="28"/>
          <w:szCs w:val="28"/>
          <w:lang w:val="en-US" w:bidi="ar-SA"/>
        </w:rPr>
      </w:pPr>
      <w:r>
        <w:rPr>
          <w:rFonts w:ascii="仿宋" w:hAnsi="仿宋" w:eastAsia="仿宋" w:cs="Times New Roman"/>
          <w:kern w:val="2"/>
          <w:sz w:val="28"/>
          <w:szCs w:val="28"/>
          <w:lang w:val="en-US" w:bidi="ar-SA"/>
        </w:rPr>
        <w:t xml:space="preserve">NY/T 1276 </w:t>
      </w:r>
      <w:r>
        <w:rPr>
          <w:rFonts w:hint="eastAsia" w:ascii="仿宋" w:hAnsi="仿宋" w:eastAsia="仿宋" w:cs="Times New Roman"/>
          <w:kern w:val="2"/>
          <w:sz w:val="28"/>
          <w:szCs w:val="28"/>
          <w:lang w:val="en-US" w:bidi="ar-SA"/>
        </w:rPr>
        <w:t xml:space="preserve"> </w:t>
      </w:r>
      <w:r>
        <w:rPr>
          <w:rFonts w:ascii="仿宋" w:hAnsi="仿宋" w:eastAsia="仿宋" w:cs="Times New Roman"/>
          <w:kern w:val="2"/>
          <w:sz w:val="28"/>
          <w:szCs w:val="28"/>
          <w:lang w:val="en-US" w:bidi="ar-SA"/>
        </w:rPr>
        <w:t>农药安全使用规范 总则</w:t>
      </w:r>
    </w:p>
    <w:p w14:paraId="6A835CFB">
      <w:pPr>
        <w:spacing w:after="0" w:line="312" w:lineRule="auto"/>
        <w:ind w:firstLine="560" w:firstLineChars="200"/>
        <w:rPr>
          <w:rFonts w:hint="eastAsia" w:ascii="仿宋" w:hAnsi="仿宋" w:eastAsia="仿宋"/>
          <w:sz w:val="28"/>
          <w:szCs w:val="28"/>
        </w:rPr>
      </w:pPr>
      <w:r>
        <w:rPr>
          <w:rFonts w:ascii="仿宋" w:hAnsi="仿宋" w:eastAsia="仿宋"/>
          <w:sz w:val="28"/>
          <w:szCs w:val="28"/>
        </w:rPr>
        <w:t xml:space="preserve">DB36/T 1242 </w:t>
      </w:r>
      <w:r>
        <w:rPr>
          <w:rFonts w:hint="eastAsia" w:ascii="仿宋" w:hAnsi="仿宋" w:eastAsia="仿宋"/>
          <w:sz w:val="28"/>
          <w:szCs w:val="28"/>
        </w:rPr>
        <w:t xml:space="preserve"> </w:t>
      </w:r>
      <w:r>
        <w:rPr>
          <w:rFonts w:ascii="仿宋" w:hAnsi="仿宋" w:eastAsia="仿宋"/>
          <w:sz w:val="28"/>
          <w:szCs w:val="28"/>
        </w:rPr>
        <w:t>果桑绿色栽培技术规程</w:t>
      </w:r>
    </w:p>
    <w:p w14:paraId="4C9309FC">
      <w:pPr>
        <w:spacing w:after="0" w:line="312" w:lineRule="auto"/>
        <w:ind w:firstLine="562" w:firstLineChars="200"/>
        <w:rPr>
          <w:rFonts w:hint="eastAsia" w:ascii="楷体" w:hAnsi="楷体" w:eastAsia="楷体"/>
          <w:b/>
          <w:sz w:val="28"/>
          <w:szCs w:val="28"/>
        </w:rPr>
      </w:pPr>
      <w:r>
        <w:rPr>
          <w:rFonts w:hint="eastAsia" w:ascii="楷体" w:hAnsi="楷体" w:eastAsia="楷体"/>
          <w:b/>
          <w:sz w:val="28"/>
          <w:szCs w:val="28"/>
        </w:rPr>
        <w:t>（三）与现行法律、法规、标准的关系</w:t>
      </w:r>
    </w:p>
    <w:p w14:paraId="2EBE5910">
      <w:pPr>
        <w:spacing w:after="0" w:line="312" w:lineRule="auto"/>
        <w:ind w:firstLine="560" w:firstLineChars="200"/>
        <w:rPr>
          <w:rFonts w:hint="eastAsia" w:ascii="仿宋" w:hAnsi="仿宋" w:eastAsia="仿宋"/>
          <w:sz w:val="28"/>
          <w:szCs w:val="28"/>
        </w:rPr>
      </w:pPr>
      <w:r>
        <w:rPr>
          <w:rFonts w:hint="eastAsia" w:ascii="仿宋" w:hAnsi="仿宋" w:eastAsia="仿宋"/>
          <w:sz w:val="28"/>
          <w:szCs w:val="28"/>
        </w:rPr>
        <w:t>经广泛调研和多方面征求意见建议，本标准有关技术要求、技术方法等符合现行法律、法规、规章的要求并具有一致性。目前，无有关强制性标准。</w:t>
      </w:r>
    </w:p>
    <w:p w14:paraId="48436F4D">
      <w:pPr>
        <w:spacing w:line="560" w:lineRule="exact"/>
        <w:ind w:firstLine="640" w:firstLineChars="200"/>
        <w:rPr>
          <w:rFonts w:hint="eastAsia" w:ascii="黑体" w:hAnsi="黑体" w:eastAsia="黑体"/>
          <w:sz w:val="32"/>
          <w:szCs w:val="32"/>
        </w:rPr>
      </w:pPr>
      <w:r>
        <w:rPr>
          <w:rFonts w:hint="eastAsia" w:ascii="黑体" w:hAnsi="黑体" w:eastAsia="黑体"/>
          <w:sz w:val="32"/>
          <w:szCs w:val="32"/>
        </w:rPr>
        <w:t>五、主要条款的说明</w:t>
      </w:r>
    </w:p>
    <w:p w14:paraId="5E11C499">
      <w:pPr>
        <w:pStyle w:val="3"/>
        <w:spacing w:line="312" w:lineRule="auto"/>
        <w:ind w:firstLine="562" w:firstLineChars="200"/>
        <w:rPr>
          <w:rFonts w:hint="eastAsia" w:ascii="仿宋" w:hAnsi="仿宋" w:eastAsia="仿宋" w:cs="Times New Roman"/>
          <w:kern w:val="2"/>
          <w:sz w:val="28"/>
          <w:szCs w:val="28"/>
          <w:lang w:val="en-US" w:bidi="ar-SA"/>
        </w:rPr>
      </w:pPr>
      <w:r>
        <w:rPr>
          <w:rFonts w:hint="eastAsia" w:ascii="楷体" w:hAnsi="楷体" w:eastAsia="楷体"/>
          <w:b/>
          <w:sz w:val="28"/>
          <w:szCs w:val="28"/>
        </w:rPr>
        <w:t>（一）</w:t>
      </w:r>
      <w:r>
        <w:rPr>
          <w:rFonts w:ascii="楷体" w:hAnsi="楷体" w:eastAsia="楷体"/>
          <w:b/>
          <w:sz w:val="28"/>
          <w:szCs w:val="28"/>
        </w:rPr>
        <w:t>范围。</w:t>
      </w:r>
      <w:r>
        <w:rPr>
          <w:rFonts w:ascii="仿宋" w:hAnsi="仿宋" w:eastAsia="仿宋" w:cs="Times New Roman"/>
          <w:kern w:val="2"/>
          <w:sz w:val="28"/>
          <w:szCs w:val="28"/>
          <w:lang w:val="en-US" w:bidi="ar-SA"/>
        </w:rPr>
        <w:t>本文件规定了</w:t>
      </w:r>
      <w:r>
        <w:rPr>
          <w:rFonts w:hint="eastAsia" w:ascii="仿宋" w:hAnsi="仿宋" w:eastAsia="仿宋" w:cs="Times New Roman"/>
          <w:kern w:val="2"/>
          <w:sz w:val="28"/>
          <w:szCs w:val="28"/>
          <w:lang w:val="en-US" w:bidi="ar-SA"/>
        </w:rPr>
        <w:t>果桑主要病虫害防控技术</w:t>
      </w:r>
      <w:r>
        <w:rPr>
          <w:rFonts w:ascii="仿宋" w:hAnsi="仿宋" w:eastAsia="仿宋" w:cs="Times New Roman"/>
          <w:kern w:val="2"/>
          <w:sz w:val="28"/>
          <w:szCs w:val="28"/>
          <w:lang w:val="en-US" w:bidi="ar-SA"/>
        </w:rPr>
        <w:t>的术语和定义、田间诊断及防治技术。本文</w:t>
      </w:r>
      <w:r>
        <w:rPr>
          <w:rFonts w:hint="eastAsia" w:ascii="仿宋" w:hAnsi="仿宋" w:eastAsia="仿宋" w:cs="Times New Roman"/>
          <w:kern w:val="2"/>
          <w:sz w:val="28"/>
          <w:szCs w:val="28"/>
          <w:lang w:val="en-US" w:bidi="ar-SA"/>
        </w:rPr>
        <w:t>件</w:t>
      </w:r>
      <w:r>
        <w:rPr>
          <w:rFonts w:ascii="仿宋" w:hAnsi="仿宋" w:eastAsia="仿宋" w:cs="Times New Roman"/>
          <w:kern w:val="2"/>
          <w:sz w:val="28"/>
          <w:szCs w:val="28"/>
          <w:lang w:val="en-US" w:bidi="ar-SA"/>
        </w:rPr>
        <w:t>适用于江西省果桑种植</w:t>
      </w:r>
      <w:r>
        <w:rPr>
          <w:rFonts w:hint="eastAsia" w:ascii="仿宋" w:hAnsi="仿宋" w:eastAsia="仿宋" w:cs="Times New Roman"/>
          <w:kern w:val="2"/>
          <w:sz w:val="28"/>
          <w:szCs w:val="28"/>
          <w:lang w:val="en-US" w:bidi="ar-SA"/>
        </w:rPr>
        <w:t>中主要病虫害的防控</w:t>
      </w:r>
      <w:r>
        <w:rPr>
          <w:rFonts w:ascii="仿宋" w:hAnsi="仿宋" w:eastAsia="仿宋" w:cs="Times New Roman"/>
          <w:kern w:val="2"/>
          <w:sz w:val="28"/>
          <w:szCs w:val="28"/>
          <w:lang w:val="en-US" w:bidi="ar-SA"/>
        </w:rPr>
        <w:t>。</w:t>
      </w:r>
    </w:p>
    <w:p w14:paraId="31CB1C31">
      <w:pPr>
        <w:spacing w:after="0" w:line="312" w:lineRule="auto"/>
        <w:ind w:firstLine="562" w:firstLineChars="200"/>
        <w:rPr>
          <w:rFonts w:hint="eastAsia" w:ascii="楷体" w:hAnsi="楷体" w:eastAsia="楷体"/>
          <w:b/>
          <w:sz w:val="28"/>
          <w:szCs w:val="28"/>
        </w:rPr>
      </w:pPr>
      <w:r>
        <w:rPr>
          <w:rFonts w:hint="eastAsia" w:ascii="楷体" w:hAnsi="楷体" w:eastAsia="楷体"/>
          <w:b/>
          <w:sz w:val="28"/>
          <w:szCs w:val="28"/>
        </w:rPr>
        <w:t>（二）规范性引用文件。</w:t>
      </w:r>
      <w:r>
        <w:rPr>
          <w:rFonts w:hint="eastAsia" w:ascii="仿宋" w:hAnsi="仿宋" w:eastAsia="仿宋"/>
          <w:sz w:val="28"/>
          <w:szCs w:val="28"/>
        </w:rPr>
        <w:t>列出了本文件应用中必不可少的引用文件。</w:t>
      </w:r>
    </w:p>
    <w:p w14:paraId="6AB00370">
      <w:pPr>
        <w:spacing w:after="0" w:line="312" w:lineRule="auto"/>
        <w:ind w:firstLine="562" w:firstLineChars="200"/>
        <w:rPr>
          <w:rFonts w:hint="eastAsia" w:ascii="仿宋" w:hAnsi="仿宋" w:eastAsia="仿宋"/>
          <w:sz w:val="28"/>
          <w:szCs w:val="28"/>
        </w:rPr>
      </w:pPr>
      <w:r>
        <w:rPr>
          <w:rFonts w:hint="eastAsia" w:ascii="楷体" w:hAnsi="楷体" w:eastAsia="楷体"/>
          <w:b/>
          <w:sz w:val="28"/>
          <w:szCs w:val="28"/>
        </w:rPr>
        <w:t>（三）</w:t>
      </w:r>
      <w:r>
        <w:rPr>
          <w:rFonts w:ascii="楷体" w:hAnsi="楷体" w:eastAsia="楷体"/>
          <w:b/>
          <w:sz w:val="28"/>
          <w:szCs w:val="28"/>
        </w:rPr>
        <w:t>术语。</w:t>
      </w:r>
      <w:r>
        <w:rPr>
          <w:rFonts w:ascii="仿宋" w:hAnsi="仿宋" w:eastAsia="仿宋"/>
          <w:sz w:val="28"/>
          <w:szCs w:val="28"/>
        </w:rPr>
        <w:t>参考了现行的</w:t>
      </w:r>
      <w:r>
        <w:rPr>
          <w:rFonts w:hint="eastAsia" w:ascii="仿宋" w:hAnsi="仿宋" w:eastAsia="仿宋"/>
          <w:sz w:val="28"/>
          <w:szCs w:val="28"/>
        </w:rPr>
        <w:t>省内外</w:t>
      </w:r>
      <w:r>
        <w:rPr>
          <w:rFonts w:ascii="仿宋" w:hAnsi="仿宋" w:eastAsia="仿宋"/>
          <w:sz w:val="28"/>
          <w:szCs w:val="28"/>
        </w:rPr>
        <w:t>有关文献资料，本技术规程采用的术语规范、明确</w:t>
      </w:r>
      <w:r>
        <w:rPr>
          <w:rFonts w:hint="eastAsia" w:ascii="仿宋" w:hAnsi="仿宋" w:eastAsia="仿宋"/>
          <w:sz w:val="28"/>
          <w:szCs w:val="28"/>
        </w:rPr>
        <w:t>，</w:t>
      </w:r>
      <w:r>
        <w:rPr>
          <w:rFonts w:ascii="仿宋" w:hAnsi="仿宋" w:eastAsia="仿宋"/>
          <w:sz w:val="28"/>
          <w:szCs w:val="28"/>
        </w:rPr>
        <w:t>对</w:t>
      </w:r>
      <w:r>
        <w:rPr>
          <w:rFonts w:hint="eastAsia" w:ascii="仿宋" w:hAnsi="仿宋" w:eastAsia="仿宋"/>
          <w:sz w:val="28"/>
          <w:szCs w:val="28"/>
        </w:rPr>
        <w:t>术语</w:t>
      </w:r>
      <w:r>
        <w:rPr>
          <w:rFonts w:ascii="仿宋" w:hAnsi="仿宋" w:eastAsia="仿宋"/>
          <w:sz w:val="28"/>
          <w:szCs w:val="28"/>
        </w:rPr>
        <w:t>进行了定义与解释。</w:t>
      </w:r>
    </w:p>
    <w:p w14:paraId="4160E890">
      <w:pPr>
        <w:spacing w:after="0" w:line="312" w:lineRule="auto"/>
        <w:ind w:firstLine="562" w:firstLineChars="200"/>
        <w:rPr>
          <w:rFonts w:hint="eastAsia" w:ascii="仿宋" w:hAnsi="仿宋" w:eastAsia="仿宋"/>
          <w:sz w:val="28"/>
          <w:szCs w:val="28"/>
        </w:rPr>
      </w:pPr>
      <w:r>
        <w:rPr>
          <w:rFonts w:hint="eastAsia" w:ascii="楷体" w:hAnsi="楷体" w:eastAsia="楷体"/>
          <w:b/>
          <w:sz w:val="28"/>
          <w:szCs w:val="28"/>
        </w:rPr>
        <w:t>（四）防控策略。</w:t>
      </w:r>
      <w:r>
        <w:rPr>
          <w:rFonts w:hint="eastAsia" w:ascii="仿宋" w:hAnsi="仿宋" w:eastAsia="仿宋"/>
          <w:sz w:val="28"/>
          <w:szCs w:val="28"/>
        </w:rPr>
        <w:t>对防控技术实行的总体方针进行了明确。</w:t>
      </w:r>
    </w:p>
    <w:p w14:paraId="1F14312E">
      <w:pPr>
        <w:spacing w:after="0" w:line="312" w:lineRule="auto"/>
        <w:ind w:firstLine="562" w:firstLineChars="200"/>
        <w:rPr>
          <w:rFonts w:hint="eastAsia" w:ascii="仿宋" w:hAnsi="仿宋" w:eastAsia="仿宋"/>
          <w:sz w:val="28"/>
          <w:szCs w:val="28"/>
        </w:rPr>
      </w:pPr>
      <w:r>
        <w:rPr>
          <w:rFonts w:hint="eastAsia" w:ascii="楷体" w:hAnsi="楷体" w:eastAsia="楷体"/>
          <w:b/>
          <w:sz w:val="28"/>
          <w:szCs w:val="28"/>
        </w:rPr>
        <w:t>（五）防治对象。</w:t>
      </w:r>
      <w:r>
        <w:rPr>
          <w:rFonts w:hint="eastAsia" w:ascii="仿宋" w:hAnsi="仿宋" w:eastAsia="仿宋"/>
          <w:sz w:val="28"/>
          <w:szCs w:val="28"/>
        </w:rPr>
        <w:t>明确果桑生产过程中的主要病虫害种类，对其中为害严重的种类进行了说明。</w:t>
      </w:r>
    </w:p>
    <w:p w14:paraId="1DACC231">
      <w:pPr>
        <w:spacing w:after="0" w:line="312" w:lineRule="auto"/>
        <w:ind w:firstLine="562" w:firstLineChars="200"/>
        <w:rPr>
          <w:rFonts w:hint="eastAsia" w:ascii="仿宋" w:hAnsi="仿宋" w:eastAsia="仿宋"/>
          <w:sz w:val="28"/>
          <w:szCs w:val="28"/>
        </w:rPr>
      </w:pPr>
      <w:r>
        <w:rPr>
          <w:rFonts w:hint="eastAsia" w:ascii="楷体" w:hAnsi="楷体" w:eastAsia="楷体"/>
          <w:b/>
          <w:sz w:val="28"/>
          <w:szCs w:val="28"/>
        </w:rPr>
        <w:t>（六）农业防治。</w:t>
      </w:r>
      <w:r>
        <w:rPr>
          <w:rFonts w:hint="eastAsia" w:ascii="仿宋" w:hAnsi="仿宋" w:eastAsia="仿宋"/>
          <w:sz w:val="28"/>
          <w:szCs w:val="28"/>
        </w:rPr>
        <w:t>规定了品种选择、建园要求、肥水管理和桑园管理等方面的要求。</w:t>
      </w:r>
    </w:p>
    <w:p w14:paraId="7A52D926">
      <w:pPr>
        <w:spacing w:after="0" w:line="312" w:lineRule="auto"/>
        <w:ind w:firstLine="562" w:firstLineChars="200"/>
        <w:rPr>
          <w:rFonts w:hint="eastAsia" w:ascii="仿宋" w:hAnsi="仿宋" w:eastAsia="仿宋"/>
          <w:sz w:val="28"/>
          <w:szCs w:val="28"/>
        </w:rPr>
      </w:pPr>
      <w:r>
        <w:rPr>
          <w:rFonts w:hint="eastAsia" w:ascii="楷体" w:hAnsi="楷体" w:eastAsia="楷体"/>
          <w:b/>
          <w:sz w:val="28"/>
          <w:szCs w:val="28"/>
        </w:rPr>
        <w:t>（七）物理防治。</w:t>
      </w:r>
      <w:r>
        <w:rPr>
          <w:rFonts w:hint="eastAsia" w:ascii="仿宋" w:hAnsi="仿宋" w:eastAsia="仿宋"/>
          <w:sz w:val="28"/>
          <w:szCs w:val="28"/>
        </w:rPr>
        <w:t>提出并规定了地膜覆盖、人工清除病果和捕杀成虫、翻耕土壤、灯光及粘板诱杀等方面的要求。</w:t>
      </w:r>
    </w:p>
    <w:p w14:paraId="526FC8F6">
      <w:pPr>
        <w:spacing w:after="0" w:line="312" w:lineRule="auto"/>
        <w:ind w:firstLine="562" w:firstLineChars="200"/>
        <w:rPr>
          <w:rFonts w:hint="eastAsia" w:ascii="仿宋" w:hAnsi="仿宋" w:eastAsia="仿宋"/>
          <w:sz w:val="28"/>
          <w:szCs w:val="28"/>
        </w:rPr>
      </w:pPr>
      <w:r>
        <w:rPr>
          <w:rFonts w:hint="eastAsia" w:ascii="楷体" w:hAnsi="楷体" w:eastAsia="楷体"/>
          <w:b/>
          <w:sz w:val="28"/>
          <w:szCs w:val="28"/>
        </w:rPr>
        <w:t>（八）化学防治。</w:t>
      </w:r>
      <w:r>
        <w:rPr>
          <w:rFonts w:hint="eastAsia" w:ascii="仿宋" w:hAnsi="仿宋" w:eastAsia="仿宋"/>
          <w:sz w:val="28"/>
          <w:szCs w:val="28"/>
        </w:rPr>
        <w:t>规定了果桑生成中不同时期进行化学防治的要求。</w:t>
      </w:r>
    </w:p>
    <w:p w14:paraId="393CB822">
      <w:pPr>
        <w:spacing w:after="0" w:line="312" w:lineRule="auto"/>
        <w:ind w:firstLine="562" w:firstLineChars="200"/>
        <w:rPr>
          <w:rFonts w:hint="eastAsia" w:ascii="仿宋" w:hAnsi="仿宋" w:eastAsia="仿宋"/>
          <w:sz w:val="28"/>
          <w:szCs w:val="28"/>
        </w:rPr>
      </w:pPr>
      <w:r>
        <w:rPr>
          <w:rFonts w:hint="eastAsia" w:ascii="楷体" w:hAnsi="楷体" w:eastAsia="楷体"/>
          <w:b/>
          <w:sz w:val="28"/>
          <w:szCs w:val="28"/>
        </w:rPr>
        <w:t>（九）生物防治。</w:t>
      </w:r>
      <w:r>
        <w:rPr>
          <w:rFonts w:hint="eastAsia" w:ascii="仿宋" w:hAnsi="仿宋" w:eastAsia="仿宋"/>
          <w:sz w:val="28"/>
          <w:szCs w:val="28"/>
        </w:rPr>
        <w:t>从保护和利用天敌、选用生物源农药两方面对生物防治进行了规范。</w:t>
      </w:r>
    </w:p>
    <w:p w14:paraId="7943D1E5">
      <w:pPr>
        <w:spacing w:after="0" w:line="312" w:lineRule="auto"/>
        <w:ind w:firstLine="562" w:firstLineChars="200"/>
        <w:rPr>
          <w:rFonts w:hint="eastAsia" w:ascii="仿宋" w:hAnsi="仿宋" w:eastAsia="仿宋"/>
          <w:sz w:val="28"/>
          <w:szCs w:val="28"/>
        </w:rPr>
      </w:pPr>
      <w:r>
        <w:rPr>
          <w:rFonts w:hint="eastAsia" w:ascii="楷体" w:hAnsi="楷体" w:eastAsia="楷体"/>
          <w:b/>
          <w:sz w:val="28"/>
          <w:szCs w:val="28"/>
        </w:rPr>
        <w:t>（十）附录。</w:t>
      </w:r>
      <w:r>
        <w:rPr>
          <w:rFonts w:hint="eastAsia" w:ascii="仿宋" w:hAnsi="仿宋" w:eastAsia="仿宋"/>
          <w:sz w:val="28"/>
          <w:szCs w:val="28"/>
        </w:rPr>
        <w:t>提供了果桑生产过程中主要病虫害的种类、发生特征并推荐了化学以及生物防治的相关参考资料。</w:t>
      </w:r>
    </w:p>
    <w:p w14:paraId="400AA657">
      <w:pPr>
        <w:spacing w:line="560" w:lineRule="exact"/>
        <w:ind w:firstLine="640" w:firstLineChars="200"/>
        <w:rPr>
          <w:rFonts w:hint="eastAsia" w:ascii="黑体" w:hAnsi="黑体" w:eastAsia="黑体"/>
          <w:sz w:val="32"/>
          <w:szCs w:val="32"/>
        </w:rPr>
      </w:pPr>
      <w:r>
        <w:rPr>
          <w:rFonts w:hint="eastAsia" w:ascii="黑体" w:hAnsi="黑体" w:eastAsia="黑体"/>
          <w:sz w:val="32"/>
          <w:szCs w:val="32"/>
        </w:rPr>
        <w:t>六、重大意见分歧的处理依据和结果</w:t>
      </w:r>
    </w:p>
    <w:p w14:paraId="739C3B8F">
      <w:pPr>
        <w:spacing w:after="0" w:line="312" w:lineRule="auto"/>
        <w:ind w:firstLine="560" w:firstLineChars="200"/>
        <w:rPr>
          <w:rFonts w:hint="eastAsia" w:ascii="仿宋" w:hAnsi="仿宋" w:eastAsia="仿宋"/>
          <w:color w:val="000000"/>
          <w:sz w:val="28"/>
          <w:szCs w:val="28"/>
        </w:rPr>
      </w:pPr>
      <w:r>
        <w:rPr>
          <w:rFonts w:hint="eastAsia" w:ascii="仿宋" w:hAnsi="仿宋" w:eastAsia="仿宋"/>
          <w:color w:val="000000"/>
          <w:sz w:val="28"/>
          <w:szCs w:val="28"/>
        </w:rPr>
        <w:t>本标准文本征求了推广部门、高等院校、科研院所、种植企业相关专家意见，未提出重大分歧意见，仅对文本的部分章节内容提出了修改意见。编写组认真讨论分析了专家的意见，并按照意见建议重新对文本进行了修改、补充和完善，形成本标准征求意见稿。</w:t>
      </w:r>
    </w:p>
    <w:p w14:paraId="4BA5C2A0">
      <w:pPr>
        <w:spacing w:line="560" w:lineRule="exact"/>
        <w:ind w:firstLine="640" w:firstLineChars="200"/>
        <w:rPr>
          <w:rFonts w:hint="eastAsia" w:ascii="黑体" w:hAnsi="黑体" w:eastAsia="黑体"/>
          <w:sz w:val="32"/>
          <w:szCs w:val="32"/>
        </w:rPr>
      </w:pPr>
      <w:r>
        <w:rPr>
          <w:rFonts w:hint="eastAsia" w:ascii="黑体" w:hAnsi="黑体" w:eastAsia="黑体"/>
          <w:sz w:val="32"/>
          <w:szCs w:val="32"/>
        </w:rPr>
        <w:t>七、</w:t>
      </w:r>
      <w:r>
        <w:rPr>
          <w:rFonts w:ascii="黑体" w:hAnsi="黑体" w:eastAsia="黑体"/>
          <w:sz w:val="32"/>
          <w:szCs w:val="32"/>
        </w:rPr>
        <w:t>贯彻标准的措施建议</w:t>
      </w:r>
    </w:p>
    <w:p w14:paraId="312860B3">
      <w:pPr>
        <w:spacing w:after="0" w:line="312" w:lineRule="auto"/>
        <w:ind w:firstLine="560" w:firstLineChars="200"/>
        <w:rPr>
          <w:rFonts w:hint="eastAsia" w:ascii="仿宋" w:hAnsi="仿宋" w:eastAsia="仿宋"/>
          <w:color w:val="000000"/>
          <w:sz w:val="28"/>
          <w:szCs w:val="28"/>
        </w:rPr>
      </w:pPr>
      <w:r>
        <w:rPr>
          <w:rFonts w:hint="eastAsia" w:ascii="仿宋" w:hAnsi="仿宋" w:eastAsia="仿宋"/>
          <w:color w:val="000000"/>
          <w:sz w:val="28"/>
          <w:szCs w:val="28"/>
        </w:rPr>
        <w:t>本标准适用对象主要为种植果桑的种植户、合作社、企业、开展相关科研示范的单位主体等。</w:t>
      </w:r>
    </w:p>
    <w:p w14:paraId="75126E11">
      <w:pPr>
        <w:spacing w:after="0" w:line="312" w:lineRule="auto"/>
        <w:ind w:firstLine="560" w:firstLineChars="200"/>
        <w:rPr>
          <w:rFonts w:hint="eastAsia" w:ascii="仿宋" w:hAnsi="仿宋" w:eastAsia="仿宋"/>
          <w:color w:val="000000"/>
          <w:sz w:val="28"/>
          <w:szCs w:val="28"/>
        </w:rPr>
      </w:pPr>
      <w:r>
        <w:rPr>
          <w:rFonts w:hint="eastAsia" w:ascii="仿宋" w:hAnsi="仿宋" w:eastAsia="仿宋"/>
          <w:color w:val="000000"/>
          <w:sz w:val="28"/>
          <w:szCs w:val="28"/>
        </w:rPr>
        <w:t>为加快标准贯彻，建议采取以下措施。</w:t>
      </w:r>
    </w:p>
    <w:p w14:paraId="5F158779">
      <w:pPr>
        <w:spacing w:after="0" w:line="312" w:lineRule="auto"/>
        <w:ind w:firstLine="560" w:firstLineChars="200"/>
        <w:rPr>
          <w:rFonts w:hint="eastAsia" w:ascii="仿宋" w:hAnsi="仿宋" w:eastAsia="仿宋"/>
          <w:color w:val="000000"/>
          <w:sz w:val="28"/>
          <w:szCs w:val="28"/>
        </w:rPr>
      </w:pPr>
      <w:r>
        <w:rPr>
          <w:rFonts w:hint="eastAsia" w:ascii="仿宋" w:hAnsi="仿宋" w:eastAsia="仿宋"/>
          <w:color w:val="000000"/>
          <w:sz w:val="28"/>
          <w:szCs w:val="28"/>
        </w:rPr>
        <w:t>一是加强宣传培训。建议农业技术推广等部门加强标准的宣传培训，指导果桑种植主体熟悉并掌握果桑主要病虫害为害特征及其防控技术。</w:t>
      </w:r>
    </w:p>
    <w:p w14:paraId="57FB0C31">
      <w:pPr>
        <w:spacing w:after="0" w:line="312" w:lineRule="auto"/>
        <w:ind w:firstLine="560" w:firstLineChars="200"/>
        <w:rPr>
          <w:rFonts w:hint="eastAsia" w:ascii="仿宋" w:hAnsi="仿宋" w:eastAsia="仿宋"/>
          <w:color w:val="000000"/>
          <w:sz w:val="28"/>
          <w:szCs w:val="28"/>
        </w:rPr>
      </w:pPr>
      <w:r>
        <w:rPr>
          <w:rFonts w:hint="eastAsia" w:ascii="仿宋" w:hAnsi="仿宋" w:eastAsia="仿宋"/>
          <w:color w:val="000000"/>
          <w:sz w:val="28"/>
          <w:szCs w:val="28"/>
        </w:rPr>
        <w:t>二是开展技术示范。建议农业技术推广等部门，选择一批基地开展果桑主要病虫害防控技术示范，并召开现场观摩会，辐射带动技术在更大范围推广应用。</w:t>
      </w:r>
    </w:p>
    <w:p w14:paraId="550F8878">
      <w:pPr>
        <w:spacing w:after="0" w:line="312" w:lineRule="auto"/>
        <w:ind w:firstLine="560" w:firstLineChars="200"/>
        <w:rPr>
          <w:rFonts w:hint="eastAsia" w:ascii="仿宋" w:hAnsi="仿宋" w:eastAsia="仿宋"/>
          <w:color w:val="000000"/>
          <w:sz w:val="28"/>
          <w:szCs w:val="28"/>
        </w:rPr>
      </w:pPr>
      <w:r>
        <w:rPr>
          <w:rFonts w:hint="eastAsia" w:ascii="仿宋" w:hAnsi="仿宋" w:eastAsia="仿宋"/>
          <w:color w:val="000000"/>
          <w:sz w:val="28"/>
          <w:szCs w:val="28"/>
        </w:rPr>
        <w:t>三是持续更新修订。起草单位根据国内外最新研究进展和技术发展水平，对标准进行持续更新修订，确保标准与当前最佳实践和技术水平保持一致，以适应不断变化的市场需求和行业要求。</w:t>
      </w:r>
    </w:p>
    <w:p w14:paraId="1FBFEE47">
      <w:pPr>
        <w:spacing w:line="520" w:lineRule="exact"/>
        <w:ind w:firstLine="640" w:firstLineChars="200"/>
        <w:rPr>
          <w:rFonts w:ascii="仿宋_GB2312" w:eastAsia="仿宋_GB2312"/>
          <w:sz w:val="32"/>
          <w:szCs w:val="32"/>
        </w:rPr>
      </w:pPr>
      <w:r>
        <w:rPr>
          <w:rFonts w:hint="eastAsia" w:ascii="黑体" w:hAnsi="黑体" w:eastAsia="黑体" w:cs="黑体"/>
          <w:sz w:val="32"/>
          <w:szCs w:val="32"/>
        </w:rPr>
        <w:t>八、其他应说明的事项</w:t>
      </w:r>
    </w:p>
    <w:p w14:paraId="3FA45E3C">
      <w:pPr>
        <w:spacing w:line="560" w:lineRule="exact"/>
        <w:ind w:firstLine="560" w:firstLineChars="200"/>
        <w:rPr>
          <w:rFonts w:hint="eastAsia" w:ascii="仿宋" w:hAnsi="仿宋" w:eastAsia="仿宋"/>
          <w:color w:val="000000"/>
          <w:sz w:val="28"/>
          <w:szCs w:val="28"/>
        </w:rPr>
      </w:pPr>
      <w:r>
        <w:rPr>
          <w:rFonts w:hint="eastAsia" w:ascii="仿宋" w:hAnsi="仿宋" w:eastAsia="仿宋"/>
          <w:color w:val="000000"/>
          <w:sz w:val="28"/>
          <w:szCs w:val="28"/>
        </w:rPr>
        <w:t>无。</w:t>
      </w:r>
    </w:p>
    <w:p w14:paraId="4FF3472C">
      <w:pPr>
        <w:pStyle w:val="2"/>
      </w:pPr>
    </w:p>
    <w:p w14:paraId="78EEFBA9">
      <w:pPr>
        <w:pStyle w:val="2"/>
      </w:pPr>
    </w:p>
    <w:p w14:paraId="42FE4C2F">
      <w:pPr>
        <w:pStyle w:val="2"/>
      </w:pPr>
    </w:p>
    <w:p w14:paraId="30BD81D0">
      <w:pPr>
        <w:snapToGrid w:val="0"/>
        <w:spacing w:line="560" w:lineRule="exact"/>
        <w:jc w:val="right"/>
        <w:rPr>
          <w:rFonts w:hint="eastAsia" w:ascii="仿宋" w:hAnsi="仿宋" w:eastAsia="仿宋" w:cs="仿宋"/>
          <w:color w:val="000000"/>
          <w:sz w:val="28"/>
          <w:szCs w:val="28"/>
          <w:shd w:val="clear" w:color="auto" w:fill="FFFFFF"/>
        </w:rPr>
      </w:pPr>
      <w:r>
        <w:rPr>
          <w:rFonts w:ascii="仿宋" w:hAnsi="仿宋" w:eastAsia="仿宋" w:cs="仿宋"/>
          <w:color w:val="000000"/>
          <w:sz w:val="28"/>
          <w:szCs w:val="28"/>
          <w:shd w:val="clear" w:color="auto" w:fill="FFFFFF"/>
        </w:rPr>
        <w:t>《</w:t>
      </w:r>
      <w:r>
        <w:rPr>
          <w:rFonts w:hint="eastAsia" w:ascii="仿宋" w:hAnsi="仿宋" w:eastAsia="仿宋" w:cs="仿宋"/>
          <w:color w:val="000000"/>
          <w:sz w:val="28"/>
          <w:szCs w:val="28"/>
          <w:shd w:val="clear" w:color="auto" w:fill="FFFFFF"/>
        </w:rPr>
        <w:t>果桑主要病虫害防控技术</w:t>
      </w:r>
      <w:r>
        <w:rPr>
          <w:rFonts w:ascii="仿宋" w:hAnsi="仿宋" w:eastAsia="仿宋" w:cs="仿宋"/>
          <w:color w:val="000000"/>
          <w:sz w:val="28"/>
          <w:szCs w:val="28"/>
          <w:shd w:val="clear" w:color="auto" w:fill="FFFFFF"/>
        </w:rPr>
        <w:t>》标准起草小组</w:t>
      </w:r>
    </w:p>
    <w:p w14:paraId="3FC1207C">
      <w:pPr>
        <w:spacing w:before="156" w:beforeLines="50" w:line="360" w:lineRule="auto"/>
        <w:jc w:val="right"/>
        <w:rPr>
          <w:rFonts w:hint="eastAsia" w:ascii="仿宋" w:hAnsi="仿宋" w:eastAsia="仿宋"/>
          <w:sz w:val="28"/>
          <w:szCs w:val="28"/>
        </w:rPr>
      </w:pPr>
      <w:r>
        <w:rPr>
          <w:rFonts w:ascii="仿宋" w:hAnsi="仿宋" w:eastAsia="仿宋" w:cs="仿宋"/>
          <w:color w:val="000000"/>
          <w:sz w:val="28"/>
          <w:szCs w:val="28"/>
        </w:rPr>
        <w:t>202</w:t>
      </w:r>
      <w:r>
        <w:rPr>
          <w:rFonts w:hint="eastAsia" w:ascii="仿宋" w:hAnsi="仿宋" w:eastAsia="仿宋" w:cs="仿宋"/>
          <w:color w:val="000000"/>
          <w:sz w:val="28"/>
          <w:szCs w:val="28"/>
        </w:rPr>
        <w:t>5</w:t>
      </w:r>
      <w:r>
        <w:rPr>
          <w:rFonts w:ascii="仿宋" w:hAnsi="仿宋" w:eastAsia="仿宋" w:cs="仿宋"/>
          <w:color w:val="000000"/>
          <w:sz w:val="28"/>
          <w:szCs w:val="28"/>
        </w:rPr>
        <w:t>年</w:t>
      </w:r>
      <w:r>
        <w:rPr>
          <w:rFonts w:hint="eastAsia" w:ascii="仿宋" w:hAnsi="仿宋" w:eastAsia="仿宋" w:cs="仿宋"/>
          <w:color w:val="000000"/>
          <w:sz w:val="28"/>
          <w:szCs w:val="28"/>
        </w:rPr>
        <w:t>3</w:t>
      </w:r>
      <w:r>
        <w:rPr>
          <w:rFonts w:ascii="仿宋" w:hAnsi="仿宋" w:eastAsia="仿宋" w:cs="仿宋"/>
          <w:color w:val="000000"/>
          <w:sz w:val="28"/>
          <w:szCs w:val="28"/>
        </w:rPr>
        <w:t>月</w:t>
      </w:r>
      <w:r>
        <w:rPr>
          <w:rFonts w:hint="eastAsia" w:ascii="仿宋" w:hAnsi="仿宋" w:eastAsia="仿宋" w:cs="仿宋"/>
          <w:color w:val="000000"/>
          <w:sz w:val="28"/>
          <w:szCs w:val="28"/>
        </w:rPr>
        <w:t>24</w:t>
      </w:r>
      <w:r>
        <w:rPr>
          <w:rFonts w:ascii="仿宋" w:hAnsi="仿宋" w:eastAsia="仿宋" w:cs="仿宋"/>
          <w:color w:val="000000"/>
          <w:sz w:val="28"/>
          <w:szCs w:val="28"/>
        </w:rPr>
        <w:t>日</w:t>
      </w:r>
    </w:p>
    <w:sectPr>
      <w:footerReference r:id="rId5" w:type="default"/>
      <w:footerReference r:id="rId6" w:type="even"/>
      <w:pgSz w:w="11906" w:h="16838"/>
      <w:pgMar w:top="1418" w:right="1274" w:bottom="1418" w:left="1418"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swiss"/>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33551912"/>
    </w:sdtPr>
    <w:sdtContent>
      <w:p w14:paraId="3ED72577">
        <w:pPr>
          <w:pStyle w:val="5"/>
          <w:jc w:val="center"/>
        </w:pPr>
        <w:r>
          <w:fldChar w:fldCharType="begin"/>
        </w:r>
        <w:r>
          <w:instrText xml:space="preserve">PAGE   \* MERGEFORMAT</w:instrText>
        </w:r>
        <w:r>
          <w:fldChar w:fldCharType="separate"/>
        </w:r>
        <w:r>
          <w:rPr>
            <w:lang w:val="zh-CN"/>
          </w:rPr>
          <w:t>1</w:t>
        </w:r>
        <w:r>
          <w:fldChar w:fldCharType="end"/>
        </w:r>
      </w:p>
    </w:sdtContent>
  </w:sdt>
  <w:p w14:paraId="5EC52E31">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A91F30">
    <w:pPr>
      <w:pStyle w:val="5"/>
      <w:framePr w:wrap="around" w:vAnchor="text" w:hAnchor="margin" w:xAlign="center" w:y="1"/>
      <w:rPr>
        <w:rStyle w:val="11"/>
      </w:rPr>
    </w:pPr>
    <w:r>
      <w:fldChar w:fldCharType="begin"/>
    </w:r>
    <w:r>
      <w:rPr>
        <w:rStyle w:val="11"/>
      </w:rPr>
      <w:instrText xml:space="preserve">PAGE  </w:instrText>
    </w:r>
    <w:r>
      <w:fldChar w:fldCharType="end"/>
    </w:r>
  </w:p>
  <w:p w14:paraId="011E5121">
    <w:pPr>
      <w:pStyle w:val="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5"/>
  <w:embedSystemFonts/>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1CC64A9B"/>
    <w:rsid w:val="00003F72"/>
    <w:rsid w:val="00030C76"/>
    <w:rsid w:val="00045903"/>
    <w:rsid w:val="00046706"/>
    <w:rsid w:val="0006229C"/>
    <w:rsid w:val="00065FB4"/>
    <w:rsid w:val="00095549"/>
    <w:rsid w:val="000A4F8B"/>
    <w:rsid w:val="000C2109"/>
    <w:rsid w:val="000D31E4"/>
    <w:rsid w:val="000F10CC"/>
    <w:rsid w:val="000F12C2"/>
    <w:rsid w:val="00126A46"/>
    <w:rsid w:val="001425F5"/>
    <w:rsid w:val="00142E03"/>
    <w:rsid w:val="001464C5"/>
    <w:rsid w:val="00147663"/>
    <w:rsid w:val="00186983"/>
    <w:rsid w:val="00190D1F"/>
    <w:rsid w:val="00195DAD"/>
    <w:rsid w:val="001A3C68"/>
    <w:rsid w:val="001D1F79"/>
    <w:rsid w:val="001D4192"/>
    <w:rsid w:val="001F2E73"/>
    <w:rsid w:val="002054DC"/>
    <w:rsid w:val="00205E65"/>
    <w:rsid w:val="00235F13"/>
    <w:rsid w:val="002455E7"/>
    <w:rsid w:val="00257B34"/>
    <w:rsid w:val="002626DE"/>
    <w:rsid w:val="00263839"/>
    <w:rsid w:val="00263886"/>
    <w:rsid w:val="0028164C"/>
    <w:rsid w:val="002929CF"/>
    <w:rsid w:val="002A6AB5"/>
    <w:rsid w:val="002B1654"/>
    <w:rsid w:val="002B52F0"/>
    <w:rsid w:val="002C3EBF"/>
    <w:rsid w:val="002D01DE"/>
    <w:rsid w:val="002E31F0"/>
    <w:rsid w:val="002F344B"/>
    <w:rsid w:val="0032247D"/>
    <w:rsid w:val="00334602"/>
    <w:rsid w:val="0034097C"/>
    <w:rsid w:val="00377813"/>
    <w:rsid w:val="003907F5"/>
    <w:rsid w:val="003B4B80"/>
    <w:rsid w:val="003B6B8C"/>
    <w:rsid w:val="003D598B"/>
    <w:rsid w:val="003E68BC"/>
    <w:rsid w:val="003F0AF1"/>
    <w:rsid w:val="00420F5F"/>
    <w:rsid w:val="00424949"/>
    <w:rsid w:val="00430277"/>
    <w:rsid w:val="0043209E"/>
    <w:rsid w:val="00433D9F"/>
    <w:rsid w:val="00435B94"/>
    <w:rsid w:val="00442EBF"/>
    <w:rsid w:val="004461DC"/>
    <w:rsid w:val="0044790E"/>
    <w:rsid w:val="004538AA"/>
    <w:rsid w:val="0046397C"/>
    <w:rsid w:val="00475018"/>
    <w:rsid w:val="00475C50"/>
    <w:rsid w:val="004964B1"/>
    <w:rsid w:val="004A1D82"/>
    <w:rsid w:val="004E07EC"/>
    <w:rsid w:val="004E0DA6"/>
    <w:rsid w:val="00502272"/>
    <w:rsid w:val="00540023"/>
    <w:rsid w:val="00556460"/>
    <w:rsid w:val="00567D59"/>
    <w:rsid w:val="00583B7D"/>
    <w:rsid w:val="005914FA"/>
    <w:rsid w:val="005A58CE"/>
    <w:rsid w:val="005E4C55"/>
    <w:rsid w:val="005F3C45"/>
    <w:rsid w:val="00627169"/>
    <w:rsid w:val="0062795A"/>
    <w:rsid w:val="00654FED"/>
    <w:rsid w:val="00675B7C"/>
    <w:rsid w:val="006D08F6"/>
    <w:rsid w:val="006D7DA0"/>
    <w:rsid w:val="006E75E6"/>
    <w:rsid w:val="006F7457"/>
    <w:rsid w:val="00704F84"/>
    <w:rsid w:val="0073091E"/>
    <w:rsid w:val="0076096D"/>
    <w:rsid w:val="00763AB8"/>
    <w:rsid w:val="007670CE"/>
    <w:rsid w:val="007C4E8D"/>
    <w:rsid w:val="00816245"/>
    <w:rsid w:val="0082309F"/>
    <w:rsid w:val="00826A9C"/>
    <w:rsid w:val="00827378"/>
    <w:rsid w:val="00841C15"/>
    <w:rsid w:val="00845E1C"/>
    <w:rsid w:val="00852E40"/>
    <w:rsid w:val="0085304B"/>
    <w:rsid w:val="00856E52"/>
    <w:rsid w:val="008648ED"/>
    <w:rsid w:val="008662BF"/>
    <w:rsid w:val="0086750C"/>
    <w:rsid w:val="008713E6"/>
    <w:rsid w:val="0087184C"/>
    <w:rsid w:val="00875496"/>
    <w:rsid w:val="008949FE"/>
    <w:rsid w:val="008964C9"/>
    <w:rsid w:val="008C0B74"/>
    <w:rsid w:val="008F10CE"/>
    <w:rsid w:val="00925E13"/>
    <w:rsid w:val="00953756"/>
    <w:rsid w:val="00953DE4"/>
    <w:rsid w:val="00964966"/>
    <w:rsid w:val="00977BC8"/>
    <w:rsid w:val="00980B7E"/>
    <w:rsid w:val="0098104B"/>
    <w:rsid w:val="00987083"/>
    <w:rsid w:val="0099015B"/>
    <w:rsid w:val="00991D05"/>
    <w:rsid w:val="009A01E5"/>
    <w:rsid w:val="009A39DC"/>
    <w:rsid w:val="009C0850"/>
    <w:rsid w:val="009D06EB"/>
    <w:rsid w:val="00A10E24"/>
    <w:rsid w:val="00A25A67"/>
    <w:rsid w:val="00A356E3"/>
    <w:rsid w:val="00A35B3A"/>
    <w:rsid w:val="00A372BE"/>
    <w:rsid w:val="00A56454"/>
    <w:rsid w:val="00A81531"/>
    <w:rsid w:val="00AA7E93"/>
    <w:rsid w:val="00AC0B7F"/>
    <w:rsid w:val="00AC185B"/>
    <w:rsid w:val="00AC5F5F"/>
    <w:rsid w:val="00AD3B72"/>
    <w:rsid w:val="00AD48E1"/>
    <w:rsid w:val="00AD67CF"/>
    <w:rsid w:val="00B34C9A"/>
    <w:rsid w:val="00B356B2"/>
    <w:rsid w:val="00B424C0"/>
    <w:rsid w:val="00B54213"/>
    <w:rsid w:val="00B60449"/>
    <w:rsid w:val="00B74459"/>
    <w:rsid w:val="00B774CC"/>
    <w:rsid w:val="00B82287"/>
    <w:rsid w:val="00B8537E"/>
    <w:rsid w:val="00B901D9"/>
    <w:rsid w:val="00BA7457"/>
    <w:rsid w:val="00BB7294"/>
    <w:rsid w:val="00BE1BF1"/>
    <w:rsid w:val="00C12FAB"/>
    <w:rsid w:val="00C16496"/>
    <w:rsid w:val="00C16E00"/>
    <w:rsid w:val="00C35631"/>
    <w:rsid w:val="00C5580E"/>
    <w:rsid w:val="00C55F8C"/>
    <w:rsid w:val="00CB152F"/>
    <w:rsid w:val="00CD4B0C"/>
    <w:rsid w:val="00CD7D5F"/>
    <w:rsid w:val="00CE13F2"/>
    <w:rsid w:val="00CE4C10"/>
    <w:rsid w:val="00CF1475"/>
    <w:rsid w:val="00D019FC"/>
    <w:rsid w:val="00D01DDC"/>
    <w:rsid w:val="00D0642E"/>
    <w:rsid w:val="00D10AC7"/>
    <w:rsid w:val="00D113BE"/>
    <w:rsid w:val="00D141B5"/>
    <w:rsid w:val="00D1457C"/>
    <w:rsid w:val="00D44EFE"/>
    <w:rsid w:val="00D46156"/>
    <w:rsid w:val="00D97F67"/>
    <w:rsid w:val="00DB32EB"/>
    <w:rsid w:val="00DD2CF9"/>
    <w:rsid w:val="00E11B61"/>
    <w:rsid w:val="00E31CD2"/>
    <w:rsid w:val="00E44259"/>
    <w:rsid w:val="00E62DC0"/>
    <w:rsid w:val="00E72431"/>
    <w:rsid w:val="00E810E1"/>
    <w:rsid w:val="00E83119"/>
    <w:rsid w:val="00EA51AB"/>
    <w:rsid w:val="00EB3F9B"/>
    <w:rsid w:val="00EB4A29"/>
    <w:rsid w:val="00EB6F89"/>
    <w:rsid w:val="00EC53A7"/>
    <w:rsid w:val="00ED4222"/>
    <w:rsid w:val="00F06B4A"/>
    <w:rsid w:val="00F06B56"/>
    <w:rsid w:val="00F072BA"/>
    <w:rsid w:val="00F10449"/>
    <w:rsid w:val="00F1262F"/>
    <w:rsid w:val="00F41685"/>
    <w:rsid w:val="00F96715"/>
    <w:rsid w:val="00FC1FAD"/>
    <w:rsid w:val="00FD7270"/>
    <w:rsid w:val="084713D8"/>
    <w:rsid w:val="0B37328E"/>
    <w:rsid w:val="14524DF2"/>
    <w:rsid w:val="19D63D4E"/>
    <w:rsid w:val="1CC64A9B"/>
    <w:rsid w:val="1DEE38C5"/>
    <w:rsid w:val="1E871DBA"/>
    <w:rsid w:val="1E9752AB"/>
    <w:rsid w:val="23F972A1"/>
    <w:rsid w:val="2873312A"/>
    <w:rsid w:val="29AF5F72"/>
    <w:rsid w:val="2F521641"/>
    <w:rsid w:val="349F5780"/>
    <w:rsid w:val="36A607DB"/>
    <w:rsid w:val="42B95752"/>
    <w:rsid w:val="44621530"/>
    <w:rsid w:val="4AB210AC"/>
    <w:rsid w:val="505934EC"/>
    <w:rsid w:val="5BE36A51"/>
    <w:rsid w:val="6AC14DD1"/>
    <w:rsid w:val="74401654"/>
    <w:rsid w:val="755004AB"/>
    <w:rsid w:val="78644E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qFormat="1" w:uiPriority="99" w:semiHidden="0" w:name="Normal Indent"/>
    <w:lsdException w:uiPriority="0" w:name="footnote text"/>
    <w:lsdException w:uiPriority="0" w:name="annotation text"/>
    <w:lsdException w:unhideWhenUsed="0" w:uiPriority="0" w:semiHidden="0" w:name="header"/>
    <w:lsdException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nhideWhenUsed="0" w:uiPriority="0" w:semiHidden="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1" w:semiHidden="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99"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99"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78" w:lineRule="auto"/>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Normal Indent"/>
    <w:basedOn w:val="1"/>
    <w:unhideWhenUsed/>
    <w:qFormat/>
    <w:uiPriority w:val="99"/>
    <w:pPr>
      <w:spacing w:after="0" w:line="240" w:lineRule="auto"/>
      <w:ind w:firstLine="420" w:firstLineChars="200"/>
    </w:pPr>
  </w:style>
  <w:style w:type="paragraph" w:styleId="3">
    <w:name w:val="Body Text"/>
    <w:basedOn w:val="1"/>
    <w:link w:val="28"/>
    <w:qFormat/>
    <w:uiPriority w:val="1"/>
    <w:pPr>
      <w:autoSpaceDE w:val="0"/>
      <w:autoSpaceDN w:val="0"/>
      <w:spacing w:after="0" w:line="240" w:lineRule="auto"/>
      <w:jc w:val="left"/>
    </w:pPr>
    <w:rPr>
      <w:rFonts w:ascii="宋体" w:hAnsi="宋体" w:cs="宋体"/>
      <w:kern w:val="0"/>
      <w:szCs w:val="21"/>
      <w:lang w:val="zh-CN" w:bidi="zh-CN"/>
    </w:rPr>
  </w:style>
  <w:style w:type="paragraph" w:styleId="4">
    <w:name w:val="Balloon Text"/>
    <w:basedOn w:val="1"/>
    <w:link w:val="22"/>
    <w:uiPriority w:val="0"/>
    <w:rPr>
      <w:sz w:val="18"/>
      <w:szCs w:val="18"/>
    </w:rPr>
  </w:style>
  <w:style w:type="paragraph" w:styleId="5">
    <w:name w:val="footer"/>
    <w:basedOn w:val="1"/>
    <w:link w:val="21"/>
    <w:uiPriority w:val="99"/>
    <w:pPr>
      <w:tabs>
        <w:tab w:val="center" w:pos="4153"/>
        <w:tab w:val="right" w:pos="8306"/>
      </w:tabs>
      <w:snapToGrid w:val="0"/>
      <w:jc w:val="left"/>
    </w:pPr>
    <w:rPr>
      <w:sz w:val="18"/>
      <w:szCs w:val="18"/>
    </w:rPr>
  </w:style>
  <w:style w:type="paragraph" w:styleId="6">
    <w:name w:val="header"/>
    <w:basedOn w:val="1"/>
    <w:link w:val="14"/>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semiHidden/>
    <w:unhideWhenUsed/>
    <w:qFormat/>
    <w:uiPriority w:val="99"/>
    <w:pPr>
      <w:widowControl/>
      <w:spacing w:before="100" w:beforeAutospacing="1" w:after="100" w:afterAutospacing="1" w:line="240" w:lineRule="auto"/>
      <w:jc w:val="left"/>
    </w:pPr>
    <w:rPr>
      <w:rFonts w:ascii="宋体" w:hAnsi="宋体" w:cs="宋体"/>
      <w:kern w:val="0"/>
      <w:sz w:val="24"/>
    </w:rPr>
  </w:style>
  <w:style w:type="table" w:styleId="9">
    <w:name w:val="Table Grid"/>
    <w:basedOn w:val="8"/>
    <w:qFormat/>
    <w:uiPriority w:val="39"/>
    <w:pPr>
      <w:widowControl w:val="0"/>
      <w:spacing w:after="0" w:line="240" w:lineRule="auto"/>
      <w:jc w:val="both"/>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page number"/>
    <w:basedOn w:val="10"/>
    <w:qFormat/>
    <w:uiPriority w:val="0"/>
  </w:style>
  <w:style w:type="character" w:styleId="12">
    <w:name w:val="Hyperlink"/>
    <w:basedOn w:val="10"/>
    <w:semiHidden/>
    <w:unhideWhenUsed/>
    <w:qFormat/>
    <w:uiPriority w:val="99"/>
    <w:rPr>
      <w:color w:val="0563C1"/>
      <w:u w:val="single"/>
    </w:rPr>
  </w:style>
  <w:style w:type="paragraph" w:customStyle="1" w:styleId="13">
    <w:name w:val="段"/>
    <w:link w:val="24"/>
    <w:qFormat/>
    <w:uiPriority w:val="0"/>
    <w:pPr>
      <w:autoSpaceDE w:val="0"/>
      <w:autoSpaceDN w:val="0"/>
      <w:spacing w:after="160" w:line="278" w:lineRule="auto"/>
      <w:ind w:firstLine="200" w:firstLineChars="200"/>
      <w:jc w:val="both"/>
    </w:pPr>
    <w:rPr>
      <w:rFonts w:ascii="宋体" w:hAnsi="Times New Roman" w:eastAsia="宋体" w:cs="Times New Roman"/>
      <w:sz w:val="21"/>
      <w:lang w:val="en-US" w:eastAsia="zh-CN" w:bidi="ar-SA"/>
    </w:rPr>
  </w:style>
  <w:style w:type="character" w:customStyle="1" w:styleId="14">
    <w:name w:val="页眉 字符"/>
    <w:basedOn w:val="10"/>
    <w:link w:val="6"/>
    <w:qFormat/>
    <w:uiPriority w:val="0"/>
    <w:rPr>
      <w:rFonts w:ascii="Times New Roman" w:hAnsi="Times New Roman"/>
      <w:kern w:val="2"/>
      <w:sz w:val="18"/>
      <w:szCs w:val="18"/>
    </w:rPr>
  </w:style>
  <w:style w:type="paragraph" w:customStyle="1" w:styleId="15">
    <w:name w:val="章标题"/>
    <w:next w:val="1"/>
    <w:qFormat/>
    <w:uiPriority w:val="0"/>
    <w:pPr>
      <w:spacing w:beforeLines="50" w:after="160" w:afterLines="50" w:line="278" w:lineRule="auto"/>
      <w:jc w:val="both"/>
      <w:outlineLvl w:val="1"/>
    </w:pPr>
    <w:rPr>
      <w:rFonts w:ascii="黑体" w:hAnsi="Times New Roman" w:eastAsia="黑体" w:cs="Times New Roman"/>
      <w:sz w:val="21"/>
      <w:lang w:val="en-US" w:eastAsia="zh-CN" w:bidi="ar-SA"/>
    </w:rPr>
  </w:style>
  <w:style w:type="paragraph" w:customStyle="1" w:styleId="16">
    <w:name w:val="二级条标题"/>
    <w:basedOn w:val="1"/>
    <w:next w:val="1"/>
    <w:qFormat/>
    <w:uiPriority w:val="0"/>
    <w:pPr>
      <w:widowControl/>
      <w:spacing w:beforeLines="50" w:afterLines="50"/>
      <w:outlineLvl w:val="3"/>
    </w:pPr>
    <w:rPr>
      <w:rFonts w:ascii="黑体" w:eastAsia="黑体"/>
      <w:kern w:val="0"/>
      <w:szCs w:val="20"/>
      <w:lang w:val="zh-CN"/>
    </w:rPr>
  </w:style>
  <w:style w:type="character" w:customStyle="1" w:styleId="17">
    <w:name w:val="一级条标题 Char"/>
    <w:link w:val="18"/>
    <w:qFormat/>
    <w:uiPriority w:val="0"/>
    <w:rPr>
      <w:rFonts w:ascii="黑体" w:eastAsia="黑体"/>
      <w:sz w:val="21"/>
    </w:rPr>
  </w:style>
  <w:style w:type="paragraph" w:customStyle="1" w:styleId="18">
    <w:name w:val="一级条标题"/>
    <w:basedOn w:val="15"/>
    <w:next w:val="1"/>
    <w:link w:val="17"/>
    <w:qFormat/>
    <w:uiPriority w:val="0"/>
    <w:pPr>
      <w:outlineLvl w:val="2"/>
    </w:pPr>
    <w:rPr>
      <w:rFonts w:hAnsi="Calibri"/>
    </w:rPr>
  </w:style>
  <w:style w:type="paragraph" w:customStyle="1" w:styleId="19">
    <w:name w:val="标准名称"/>
    <w:basedOn w:val="1"/>
    <w:link w:val="20"/>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character" w:customStyle="1" w:styleId="20">
    <w:name w:val="标准名称 Char"/>
    <w:link w:val="19"/>
    <w:qFormat/>
    <w:locked/>
    <w:uiPriority w:val="0"/>
    <w:rPr>
      <w:rFonts w:ascii="黑体" w:hAnsi="Times New Roman" w:eastAsia="黑体"/>
      <w:sz w:val="32"/>
      <w:shd w:val="clear" w:color="FFFFFF" w:fill="FFFFFF"/>
    </w:rPr>
  </w:style>
  <w:style w:type="character" w:customStyle="1" w:styleId="21">
    <w:name w:val="页脚 字符"/>
    <w:basedOn w:val="10"/>
    <w:link w:val="5"/>
    <w:qFormat/>
    <w:uiPriority w:val="99"/>
    <w:rPr>
      <w:rFonts w:ascii="Times New Roman" w:hAnsi="Times New Roman"/>
      <w:kern w:val="2"/>
      <w:sz w:val="18"/>
      <w:szCs w:val="18"/>
    </w:rPr>
  </w:style>
  <w:style w:type="character" w:customStyle="1" w:styleId="22">
    <w:name w:val="批注框文本 字符"/>
    <w:basedOn w:val="10"/>
    <w:link w:val="4"/>
    <w:qFormat/>
    <w:uiPriority w:val="0"/>
    <w:rPr>
      <w:rFonts w:ascii="Times New Roman" w:hAnsi="Times New Roman"/>
      <w:kern w:val="2"/>
      <w:sz w:val="18"/>
      <w:szCs w:val="18"/>
    </w:rPr>
  </w:style>
  <w:style w:type="paragraph" w:customStyle="1" w:styleId="23">
    <w:name w:val="修订1"/>
    <w:hidden/>
    <w:semiHidden/>
    <w:qFormat/>
    <w:uiPriority w:val="99"/>
    <w:pPr>
      <w:spacing w:after="160" w:line="278" w:lineRule="auto"/>
    </w:pPr>
    <w:rPr>
      <w:rFonts w:ascii="Times New Roman" w:hAnsi="Times New Roman" w:eastAsia="宋体" w:cs="Times New Roman"/>
      <w:kern w:val="2"/>
      <w:sz w:val="21"/>
      <w:szCs w:val="24"/>
      <w:lang w:val="en-US" w:eastAsia="zh-CN" w:bidi="ar-SA"/>
    </w:rPr>
  </w:style>
  <w:style w:type="character" w:customStyle="1" w:styleId="24">
    <w:name w:val="段 Char"/>
    <w:link w:val="13"/>
    <w:qFormat/>
    <w:uiPriority w:val="0"/>
    <w:rPr>
      <w:rFonts w:ascii="宋体" w:hAnsi="Times New Roman"/>
      <w:sz w:val="21"/>
    </w:rPr>
  </w:style>
  <w:style w:type="paragraph" w:styleId="25">
    <w:name w:val="List Paragraph"/>
    <w:basedOn w:val="1"/>
    <w:qFormat/>
    <w:uiPriority w:val="99"/>
    <w:pPr>
      <w:ind w:firstLine="420" w:firstLineChars="200"/>
    </w:pPr>
  </w:style>
  <w:style w:type="character" w:customStyle="1" w:styleId="26">
    <w:name w:val="fontstyle01"/>
    <w:basedOn w:val="10"/>
    <w:qFormat/>
    <w:uiPriority w:val="0"/>
    <w:rPr>
      <w:rFonts w:hint="eastAsia" w:ascii="仿宋" w:hAnsi="仿宋" w:eastAsia="仿宋"/>
      <w:color w:val="000000"/>
      <w:sz w:val="24"/>
      <w:szCs w:val="24"/>
    </w:rPr>
  </w:style>
  <w:style w:type="paragraph" w:customStyle="1" w:styleId="27">
    <w:name w:val="正文1"/>
    <w:qFormat/>
    <w:uiPriority w:val="0"/>
    <w:pPr>
      <w:spacing w:after="0" w:line="240" w:lineRule="auto"/>
      <w:jc w:val="both"/>
    </w:pPr>
    <w:rPr>
      <w:rFonts w:ascii="Times New Roman" w:hAnsi="Times New Roman" w:eastAsia="宋体" w:cs="Times New Roman"/>
      <w:kern w:val="2"/>
      <w:sz w:val="21"/>
      <w:szCs w:val="21"/>
      <w:lang w:val="en-US" w:eastAsia="zh-CN" w:bidi="ar-SA"/>
    </w:rPr>
  </w:style>
  <w:style w:type="character" w:customStyle="1" w:styleId="28">
    <w:name w:val="正文文本 字符"/>
    <w:basedOn w:val="10"/>
    <w:link w:val="3"/>
    <w:qFormat/>
    <w:uiPriority w:val="1"/>
    <w:rPr>
      <w:rFonts w:ascii="宋体" w:hAnsi="宋体" w:cs="宋体"/>
      <w:sz w:val="21"/>
      <w:szCs w:val="21"/>
      <w:lang w:val="zh-CN" w:bidi="zh-CN"/>
    </w:rPr>
  </w:style>
  <w:style w:type="table" w:customStyle="1" w:styleId="29">
    <w:name w:val="网格型1"/>
    <w:basedOn w:val="8"/>
    <w:qFormat/>
    <w:uiPriority w:val="59"/>
    <w:pPr>
      <w:spacing w:after="0" w:line="240" w:lineRule="auto"/>
    </w:pPr>
    <w:rPr>
      <w:rFonts w:asciiTheme="minorHAnsi" w:hAnsiTheme="minorHAnsi" w:eastAsiaTheme="minorEastAsia" w:cstheme="minorBid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
    <w:name w:val="网格型2"/>
    <w:basedOn w:val="8"/>
    <w:qFormat/>
    <w:uiPriority w:val="59"/>
    <w:pPr>
      <w:spacing w:after="0" w:line="240" w:lineRule="auto"/>
    </w:pPr>
    <w:rPr>
      <w:rFonts w:asciiTheme="minorHAnsi" w:hAnsiTheme="minorHAnsi" w:eastAsiaTheme="minorEastAsia" w:cstheme="minorBid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P R C</Company>
  <Pages>6</Pages>
  <Words>2928</Words>
  <Characters>3002</Characters>
  <Lines>22</Lines>
  <Paragraphs>6</Paragraphs>
  <TotalTime>387</TotalTime>
  <ScaleCrop>false</ScaleCrop>
  <LinksUpToDate>false</LinksUpToDate>
  <CharactersWithSpaces>3026</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2025-01-24T06:30:00Z</dcterms:created>
  <dc:creator>酒天夜帝</dc:creator>
  <cp:lastModifiedBy>陈星曈</cp:lastModifiedBy>
  <dcterms:modified xsi:type="dcterms:W3CDTF">2025-06-13T07:10:55Z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BB3B4475E0D54BA0814C3D9FC1DABBD6</vt:lpwstr>
  </property>
  <property fmtid="{D5CDD505-2E9C-101B-9397-08002B2CF9AE}" pid="4" name="KSOTemplateDocerSaveRecord">
    <vt:lpwstr>eyJoZGlkIjoiNzhiMjFhNjIyYzE0ZWNjMWI5NjJlODEyYTM4NmRiY2EiLCJ1c2VySWQiOiIxMjEzNjU0MDg4In0=</vt:lpwstr>
  </property>
</Properties>
</file>